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0"/>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rPr>
          <w:rFonts w:hint="eastAsia"/>
          <w:lang w:val="en-US" w:eastAsia="zh-CN"/>
        </w:rPr>
        <w:t>01.120</w:t>
      </w:r>
      <w:r>
        <w:rPr>
          <w:rFonts w:hint="eastAsia"/>
        </w:rPr>
        <w:t>   </w:t>
      </w:r>
      <w:r>
        <w:fldChar w:fldCharType="end"/>
      </w:r>
      <w:bookmarkEnd w:id="0"/>
    </w:p>
    <w:p>
      <w:pPr>
        <w:pStyle w:val="120"/>
        <w:rPr>
          <w:rFonts w:hint="default" w:eastAsia="黑体"/>
          <w:lang w:val="en-US" w:eastAsia="zh-CN"/>
        </w:rPr>
      </w:pPr>
      <w:r>
        <w:rPr>
          <w:rFonts w:hint="eastAsia"/>
        </w:rPr>
        <w:t>CCS</w:t>
      </w:r>
      <w:r>
        <w:t xml:space="preserve"> </w:t>
      </w:r>
      <w:r>
        <w:rPr>
          <w:rFonts w:hint="eastAsia"/>
          <w:lang w:val="en-US" w:eastAsia="zh-CN"/>
        </w:rPr>
        <w:t>A  00</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120"/>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fldChar w:fldCharType="begin">
                <w:ffData>
                  <w:name w:val="BAH"/>
                  <w:enabled/>
                  <w:calcOnExit w:val="0"/>
                  <w:textInput/>
                </w:ffData>
              </w:fldChar>
            </w:r>
            <w:bookmarkStart w:id="1" w:name="BAH"/>
            <w:r>
              <w:instrText xml:space="preserve"> FORMTEXT </w:instrText>
            </w:r>
            <w:r>
              <w:fldChar w:fldCharType="separate"/>
            </w:r>
            <w:r>
              <w:t>     </w:t>
            </w:r>
            <w:r>
              <w:fldChar w:fldCharType="end"/>
            </w:r>
            <w:bookmarkEnd w:id="1"/>
          </w:p>
        </w:tc>
      </w:tr>
    </w:tbl>
    <w:p>
      <w:pPr>
        <w:pStyle w:val="106"/>
        <w:rPr>
          <w:rFonts w:hint="default"/>
        </w:rPr>
      </w:pPr>
      <w:r>
        <w:drawing>
          <wp:inline distT="0" distB="0" distL="114300" distR="114300">
            <wp:extent cx="414655" cy="430530"/>
            <wp:effectExtent l="0" t="0" r="4445" b="7620"/>
            <wp:docPr id="7"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D:\000000部门项目\09标准化插件开发\程序源代码\StandardEditor_ShanDongKeXieYuan\团标首页面字母T.png"/>
                    <pic:cNvPicPr>
                      <a:picLocks noChangeAspect="1"/>
                    </pic:cNvPicPr>
                  </pic:nvPicPr>
                  <pic:blipFill>
                    <a:blip r:embed="rId6"/>
                    <a:stretch>
                      <a:fillRect/>
                    </a:stretch>
                  </pic:blipFill>
                  <pic:spPr>
                    <a:xfrm>
                      <a:off x="0" y="0"/>
                      <a:ext cx="414655" cy="430530"/>
                    </a:xfrm>
                    <a:prstGeom prst="rect">
                      <a:avLst/>
                    </a:prstGeom>
                    <a:noFill/>
                    <a:ln>
                      <a:noFill/>
                    </a:ln>
                  </pic:spPr>
                </pic:pic>
              </a:graphicData>
            </a:graphic>
          </wp:inline>
        </w:drawing>
      </w:r>
      <w:r>
        <w:drawing>
          <wp:inline distT="0" distB="0" distL="114300" distR="114300">
            <wp:extent cx="170815" cy="437515"/>
            <wp:effectExtent l="0" t="0" r="635" b="635"/>
            <wp:docPr id="8"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D:\000000部门项目\09标准化插件开发\程序源代码\StandardEditor_ShanDongKeXieYuan\团标首页面字母T后面的反斜杠.png"/>
                    <pic:cNvPicPr>
                      <a:picLocks noChangeAspect="1"/>
                    </pic:cNvPicPr>
                  </pic:nvPicPr>
                  <pic:blipFill>
                    <a:blip r:embed="rId7"/>
                    <a:stretch>
                      <a:fillRect/>
                    </a:stretch>
                  </pic:blipFill>
                  <pic:spPr>
                    <a:xfrm>
                      <a:off x="0" y="0"/>
                      <a:ext cx="170815" cy="437515"/>
                    </a:xfrm>
                    <a:prstGeom prst="rect">
                      <a:avLst/>
                    </a:prstGeom>
                    <a:noFill/>
                    <a:ln>
                      <a:noFill/>
                    </a:ln>
                  </pic:spPr>
                </pic:pic>
              </a:graphicData>
            </a:graphic>
          </wp:inline>
        </w:drawing>
      </w:r>
      <w:r>
        <w:rPr>
          <w:rFonts w:hint="default"/>
        </w:rPr>
        <w:t>GXIE</w:t>
      </w:r>
    </w:p>
    <w:p>
      <w:pPr>
        <w:pStyle w:val="107"/>
        <w:rPr>
          <w:rFonts w:ascii="Times New Roman" w:hAnsi="Times New Roman"/>
        </w:rPr>
      </w:pPr>
      <w:r>
        <w:fldChar w:fldCharType="begin">
          <w:ffData>
            <w:name w:val="c6"/>
            <w:enabled/>
            <w:calcOnExit w:val="0"/>
            <w:textInput/>
          </w:ffData>
        </w:fldChar>
      </w:r>
      <w:bookmarkStart w:id="2" w:name="c6"/>
      <w:r>
        <w:instrText xml:space="preserve"> FORMTEXT </w:instrText>
      </w:r>
      <w:r>
        <w:fldChar w:fldCharType="separate"/>
      </w:r>
      <w:r>
        <w:t>     </w:t>
      </w:r>
      <w:r>
        <w:fldChar w:fldCharType="end"/>
      </w:r>
      <w:bookmarkEnd w:id="2"/>
      <w:r>
        <w:t>团体</w:t>
      </w:r>
      <w:r>
        <w:rPr>
          <w:rFonts w:hint="eastAsia"/>
        </w:rPr>
        <w:t>标</w:t>
      </w:r>
      <w:r>
        <w:rPr>
          <w:rFonts w:hint="eastAsia" w:ascii="Times New Roman" w:hAnsi="Times New Roman"/>
        </w:rPr>
        <w:t>准</w:t>
      </w:r>
    </w:p>
    <w:p>
      <w:pPr>
        <w:pStyle w:val="44"/>
        <w:rPr>
          <w:rFonts w:hint="default" w:hAnsi="黑体"/>
        </w:rPr>
      </w:pPr>
      <w:r>
        <w:rPr>
          <w:rFonts w:hAnsi="黑体"/>
        </w:rPr>
        <w:t>T/</w:t>
      </w:r>
      <w:r>
        <w:rPr>
          <w:rFonts w:hint="default" w:hAnsi="黑体"/>
        </w:rPr>
        <w:t>GXIE</w:t>
      </w:r>
      <w:r>
        <w:rPr>
          <w:rFonts w:hAnsi="黑体"/>
        </w:rPr>
        <w:t xml:space="preserve"> </w:t>
      </w:r>
      <w:r>
        <w:rPr>
          <w:rFonts w:hint="default" w:hAnsi="黑体"/>
        </w:rPr>
        <w:t>001</w:t>
      </w:r>
      <w:r>
        <w:rPr>
          <w:rFonts w:hAnsi="黑体"/>
        </w:rPr>
        <w:t>—</w:t>
      </w:r>
      <w:r>
        <w:rPr>
          <w:rFonts w:hint="default" w:hAnsi="黑体"/>
        </w:rPr>
        <w:t>2023</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73"/>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p>
        </w:tc>
      </w:tr>
    </w:tbl>
    <w:p>
      <w:pPr>
        <w:pStyle w:val="44"/>
        <w:rPr>
          <w:rFonts w:hAnsi="黑体"/>
        </w:rPr>
      </w:pPr>
    </w:p>
    <w:p>
      <w:pPr>
        <w:pStyle w:val="44"/>
        <w:rPr>
          <w:rFonts w:hAnsi="黑体"/>
        </w:rPr>
      </w:pPr>
    </w:p>
    <w:p>
      <w:pPr>
        <w:pStyle w:val="75"/>
      </w:pPr>
      <w:r>
        <w:fldChar w:fldCharType="begin">
          <w:ffData>
            <w:name w:val="StdName"/>
            <w:enabled/>
            <w:calcOnExit w:val="0"/>
            <w:textInput>
              <w:default w:val="点击此处添加标准名称"/>
            </w:textInput>
          </w:ffData>
        </w:fldChar>
      </w:r>
      <w:bookmarkStart w:id="3" w:name="StdName"/>
      <w:r>
        <w:instrText xml:space="preserve"> FORMTEXT </w:instrText>
      </w:r>
      <w:r>
        <w:fldChar w:fldCharType="separate"/>
      </w:r>
      <w:r>
        <w:rPr>
          <w:rFonts w:hint="eastAsia"/>
        </w:rPr>
        <w:t>数字乡村建设</w:t>
      </w:r>
      <w:r>
        <w:rPr>
          <w:rFonts w:hint="eastAsia"/>
          <w:lang w:eastAsia="zh-CN"/>
        </w:rPr>
        <w:t>标准</w:t>
      </w:r>
      <w:r>
        <w:fldChar w:fldCharType="end"/>
      </w:r>
      <w:bookmarkEnd w:id="3"/>
    </w:p>
    <w:p>
      <w:pPr>
        <w:pStyle w:val="76"/>
      </w:pPr>
      <w:r>
        <w:fldChar w:fldCharType="begin">
          <w:ffData>
            <w:name w:val="StdEnglishName"/>
            <w:enabled/>
            <w:calcOnExit w:val="0"/>
            <w:textInput>
              <w:default w:val="点击此处添加标准英文译名"/>
            </w:textInput>
          </w:ffData>
        </w:fldChar>
      </w:r>
      <w:bookmarkStart w:id="4" w:name="StdEnglishName"/>
      <w:r>
        <w:instrText xml:space="preserve"> FORMTEXT </w:instrText>
      </w:r>
      <w:r>
        <w:fldChar w:fldCharType="separate"/>
      </w:r>
      <w:r>
        <w:rPr>
          <w:rFonts w:hint="eastAsia"/>
        </w:rPr>
        <w:t>Specifications for the construction digital village       </w:t>
      </w:r>
      <w:r>
        <w:fldChar w:fldCharType="end"/>
      </w:r>
      <w:bookmarkEnd w:id="4"/>
    </w:p>
    <w:p>
      <w:pPr>
        <w:pStyle w:val="77"/>
      </w:pPr>
      <w:r>
        <w:fldChar w:fldCharType="begin">
          <w:ffData>
            <w:name w:val="YZBS"/>
            <w:enabled/>
            <w:calcOnExit w:val="0"/>
            <w:textInput>
              <w:default w:val="点击此处添加与国际标准一致性程度的标识"/>
            </w:textInput>
          </w:ffData>
        </w:fldChar>
      </w:r>
      <w:bookmarkStart w:id="5" w:name="YZBS"/>
      <w:r>
        <w:instrText xml:space="preserve"> FORMTEXT </w:instrText>
      </w:r>
      <w:r>
        <w:fldChar w:fldCharType="separate"/>
      </w:r>
      <w:r>
        <w:rPr>
          <w:rFonts w:hint="eastAsia"/>
        </w:rPr>
        <w:t>     </w:t>
      </w:r>
      <w:r>
        <w:fldChar w:fldCharType="end"/>
      </w:r>
      <w:bookmarkEnd w:id="5"/>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78"/>
            </w:pPr>
            <w:bookmarkStart w:id="73" w:name="_GoBack"/>
            <w:bookmarkEnd w:id="73"/>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I1ieZWqAQAA&#10;ZwMAAA4AAAAAAAAAAQAgAAAAJAEAAGRycy9lMm9Eb2MueG1sUEsFBgAAAAAGAAYAWQEAAEAFAAAA&#10;AA==&#10;">
                      <v:fill on="t" focussize="0,0"/>
                      <v:stroke on="f"/>
                      <v:imagedata o:title=""/>
                      <o:lock v:ext="edit" aspectratio="f"/>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A+GL5dYAAAAJAQAA&#10;DwAAAAAAAAABACAAAAAiAAAAZHJzL2Rvd25yZXYueG1sUEsBAhQAFAAAAAgAh07iQBXfBLqpAQAA&#10;ZwMAAA4AAAAAAAAAAQAgAAAAJQEAAGRycy9lMm9Eb2MueG1sUEsFBgAAAAAGAAYAWQEAAEAFAAAA&#10;AA==&#10;">
                      <v:fill on="t" focussize="0,0"/>
                      <v:stroke on="f"/>
                      <v:imagedata o:title=""/>
                      <o:lock v:ext="edit" aspectratio="f"/>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val="0"/>
            <w:vAlign w:val="top"/>
          </w:tcPr>
          <w:p>
            <w:pPr>
              <w:pStyle w:val="79"/>
            </w:pPr>
            <w:r>
              <w:fldChar w:fldCharType="begin">
                <w:ffData>
                  <w:name w:val="WCRQ"/>
                  <w:enabled/>
                  <w:calcOnExit w:val="0"/>
                  <w:textInput/>
                </w:ffData>
              </w:fldChar>
            </w:r>
            <w:bookmarkStart w:id="6" w:name="WCRQ"/>
            <w:r>
              <w:instrText xml:space="preserve"> FORMTEXT </w:instrText>
            </w:r>
            <w:r>
              <w:fldChar w:fldCharType="separate"/>
            </w:r>
            <w:r>
              <w:t>     </w:t>
            </w:r>
            <w:r>
              <w:fldChar w:fldCharType="end"/>
            </w:r>
            <w:bookmarkEnd w:id="6"/>
          </w:p>
        </w:tc>
      </w:tr>
    </w:tbl>
    <w:p>
      <w:pPr>
        <w:pStyle w:val="127"/>
      </w:pPr>
      <w:r>
        <w:rPr>
          <w:rFonts w:hint="eastAsia" w:ascii="黑体"/>
          <w:lang w:val="en-US" w:eastAsia="zh-CN"/>
        </w:rPr>
        <w:t>XXXX</w:t>
      </w:r>
      <w:r>
        <w:t xml:space="preserve"> </w:t>
      </w:r>
      <w:r>
        <w:rPr>
          <w:rFonts w:ascii="黑体"/>
        </w:rPr>
        <w:t>-</w:t>
      </w:r>
      <w:r>
        <w:t xml:space="preserve"> </w:t>
      </w:r>
      <w:r>
        <w:rPr>
          <w:rFonts w:hint="eastAsia" w:ascii="黑体"/>
          <w:lang w:val="en-US" w:eastAsia="zh-CN"/>
        </w:rPr>
        <w:t>XX</w:t>
      </w:r>
      <w:r>
        <w:t xml:space="preserve"> </w:t>
      </w:r>
      <w:r>
        <w:rPr>
          <w:rFonts w:ascii="黑体"/>
        </w:rPr>
        <w:t>-</w:t>
      </w:r>
      <w:r>
        <w:t xml:space="preserve"> </w:t>
      </w:r>
      <w:r>
        <w:rPr>
          <w:rFonts w:hint="eastAsia" w:ascii="黑体"/>
          <w:lang w:val="en-US" w:eastAsia="zh-CN"/>
        </w:rPr>
        <w:t>XX</w:t>
      </w:r>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BxN90n&#10;5gEAANsDAAAOAAAAAAAAAAEAIAAAACUBAABkcnMvZTJvRG9jLnhtbFBLBQYAAAAABgAGAFkBAAB9&#10;BQAAAAA=&#10;">
                <v:fill on="f" focussize="0,0"/>
                <v:stroke color="#000000" joinstyle="round"/>
                <v:imagedata o:title=""/>
                <o:lock v:ext="edit" aspectratio="f"/>
                <w10:anchorlock/>
              </v:line>
            </w:pict>
          </mc:Fallback>
        </mc:AlternateContent>
      </w:r>
    </w:p>
    <w:p>
      <w:pPr>
        <w:pStyle w:val="128"/>
      </w:pPr>
      <w:r>
        <w:rPr>
          <w:rFonts w:hint="eastAsia" w:ascii="黑体"/>
          <w:lang w:val="en-US" w:eastAsia="zh-CN"/>
        </w:rPr>
        <w:t>XXXX</w:t>
      </w:r>
      <w:r>
        <w:t xml:space="preserve"> </w:t>
      </w:r>
      <w:r>
        <w:rPr>
          <w:rFonts w:ascii="黑体"/>
        </w:rPr>
        <w:t>-</w:t>
      </w:r>
      <w:r>
        <w:t xml:space="preserve"> </w:t>
      </w:r>
      <w:r>
        <w:rPr>
          <w:rFonts w:hint="eastAsia" w:ascii="黑体"/>
          <w:lang w:val="en-US" w:eastAsia="zh-CN"/>
        </w:rPr>
        <w:t>XX</w:t>
      </w:r>
      <w:r>
        <w:rPr>
          <w:rFonts w:ascii="黑体"/>
        </w:rPr>
        <w:t>-</w:t>
      </w:r>
      <w:r>
        <w:t xml:space="preserve"> </w:t>
      </w:r>
      <w:r>
        <w:rPr>
          <w:rFonts w:hint="eastAsia" w:ascii="黑体"/>
          <w:lang w:val="en-US" w:eastAsia="zh-CN"/>
        </w:rPr>
        <w:t>XX</w:t>
      </w:r>
      <w:r>
        <w:rPr>
          <w:rFonts w:hint="eastAsia"/>
        </w:rPr>
        <w:t>实施</w:t>
      </w:r>
    </w:p>
    <w:p>
      <w:pPr>
        <w:pStyle w:val="108"/>
        <w:rPr>
          <w:rFonts w:hint="eastAsia" w:ascii="Times New Roman" w:hAnsi="Times New Roman" w:eastAsia="黑体" w:cs="Times New Roman"/>
          <w:b w:val="0"/>
          <w:sz w:val="24"/>
          <w:szCs w:val="24"/>
          <w:lang w:val="en-US" w:eastAsia="zh-CN" w:bidi="ar-SA"/>
        </w:rPr>
      </w:pPr>
      <w:r>
        <w:rPr>
          <w:rFonts w:hint="eastAsia" w:ascii="Times New Roman" w:hAnsi="Times New Roman" w:eastAsia="黑体" w:cs="Times New Roman"/>
          <w:b w:val="0"/>
          <w:sz w:val="24"/>
          <w:szCs w:val="24"/>
          <w:lang w:val="en-US" w:eastAsia="zh-Hans" w:bidi="ar-SA"/>
        </w:rPr>
        <w:t>广西电子学会</w:t>
      </w:r>
      <w:r>
        <w:rPr>
          <w:rFonts w:hint="eastAsia" w:ascii="Times New Roman" w:hAnsi="Times New Roman" w:eastAsia="黑体" w:cs="Times New Roman"/>
          <w:b w:val="0"/>
          <w:sz w:val="24"/>
          <w:szCs w:val="24"/>
          <w:lang w:val="en-US" w:eastAsia="zh-CN" w:bidi="ar-SA"/>
        </w:rPr>
        <w:t>   发布</w:t>
      </w:r>
    </w:p>
    <w:p>
      <w:pPr>
        <w:pStyle w:val="21"/>
        <w:sectPr>
          <w:pgSz w:w="11906" w:h="16838"/>
          <w:pgMar w:top="567" w:right="850" w:bottom="1134" w:left="1418" w:header="0" w:footer="0" w:gutter="0"/>
          <w:pgNumType w:start="1"/>
          <w:cols w:space="720" w:num="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6" name="直线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Jbe&#10;NLTnAQAA2wMAAA4AAAAAAAAAAQAgAAAAJgEAAGRycy9lMm9Eb2MueG1sUEsFBgAAAAAGAAYAWQEA&#10;AH8FAAAAAA==&#10;">
                <v:fill on="f" focussize="0,0"/>
                <v:stroke color="#000000" joinstyle="round"/>
                <v:imagedata o:title=""/>
                <o:lock v:ext="edit" aspectratio="f"/>
              </v:line>
            </w:pict>
          </mc:Fallback>
        </mc:AlternateContent>
      </w:r>
    </w:p>
    <w:p>
      <w:pPr>
        <w:pStyle w:val="109"/>
        <w:jc w:val="center"/>
        <w:rPr>
          <w:rFonts w:hint="eastAsia"/>
        </w:rPr>
      </w:pPr>
      <w:bookmarkStart w:id="7" w:name="_Toc29780"/>
      <w:bookmarkStart w:id="8" w:name="_Toc18698"/>
      <w:bookmarkStart w:id="9" w:name="_Toc16042"/>
      <w:r>
        <w:rPr>
          <w:rFonts w:hint="eastAsia"/>
        </w:rPr>
        <w:t>前</w:t>
      </w:r>
      <w:bookmarkStart w:id="10" w:name="BKQY"/>
      <w:r>
        <w:rPr>
          <w:rFonts w:hint="eastAsia"/>
        </w:rPr>
        <w:t>  言</w:t>
      </w:r>
      <w:bookmarkEnd w:id="7"/>
      <w:bookmarkEnd w:id="8"/>
      <w:bookmarkEnd w:id="9"/>
      <w:bookmarkEnd w:id="10"/>
    </w:p>
    <w:p>
      <w:pPr>
        <w:pStyle w:val="21"/>
        <w:rPr>
          <w:rFonts w:hint="eastAsia"/>
        </w:rPr>
      </w:pPr>
    </w:p>
    <w:p>
      <w:pPr>
        <w:pStyle w:val="21"/>
        <w:rPr>
          <w:rFonts w:hint="eastAsia"/>
        </w:rPr>
      </w:pPr>
      <w:r>
        <w:rPr>
          <w:rFonts w:hint="eastAsia"/>
        </w:rPr>
        <w:t>本标准按照GB/T 1.1</w:t>
      </w:r>
      <w:r>
        <w:rPr>
          <w:rFonts w:hint="eastAsia"/>
          <w:lang w:eastAsia="zh-CN"/>
        </w:rPr>
        <w:t>—</w:t>
      </w:r>
      <w:r>
        <w:rPr>
          <w:rFonts w:hint="eastAsia"/>
        </w:rPr>
        <w:t>2020《标准化工作导则</w:t>
      </w:r>
      <w:r>
        <w:rPr>
          <w:rFonts w:hint="eastAsia"/>
          <w:lang w:val="en-US" w:eastAsia="zh-CN"/>
        </w:rPr>
        <w:t xml:space="preserve">  </w:t>
      </w:r>
      <w:r>
        <w:rPr>
          <w:rFonts w:hint="eastAsia"/>
        </w:rPr>
        <w:t>第1部分</w:t>
      </w:r>
      <w:r>
        <w:rPr>
          <w:rFonts w:hint="eastAsia"/>
          <w:lang w:eastAsia="zh-CN"/>
        </w:rPr>
        <w:t>：</w:t>
      </w:r>
      <w:r>
        <w:rPr>
          <w:rFonts w:hint="eastAsia"/>
        </w:rPr>
        <w:t>标准化文件的结构和起草规则》的规定起草。</w:t>
      </w:r>
    </w:p>
    <w:p>
      <w:pPr>
        <w:pStyle w:val="21"/>
        <w:rPr>
          <w:rFonts w:hint="eastAsia"/>
        </w:rPr>
      </w:pPr>
      <w:r>
        <w:rPr>
          <w:rFonts w:hint="eastAsia"/>
        </w:rPr>
        <w:t>请注意本标准的某些内容可能涉及专利。本标准的发布机构不承担识别专利的责任。</w:t>
      </w:r>
    </w:p>
    <w:p>
      <w:pPr>
        <w:pStyle w:val="21"/>
        <w:rPr>
          <w:rFonts w:hint="eastAsia"/>
        </w:rPr>
      </w:pPr>
      <w:r>
        <w:rPr>
          <w:rFonts w:hint="eastAsia"/>
        </w:rPr>
        <w:t>本文件由</w:t>
      </w:r>
      <w:r>
        <w:rPr>
          <w:rFonts w:hint="eastAsia"/>
          <w:lang w:val="en-US" w:eastAsia="zh-Hans"/>
        </w:rPr>
        <w:t>广西电子学会</w:t>
      </w:r>
      <w:r>
        <w:rPr>
          <w:rFonts w:hint="default"/>
          <w:lang w:eastAsia="zh-Hans"/>
        </w:rPr>
        <w:t>、</w:t>
      </w:r>
      <w:r>
        <w:rPr>
          <w:rFonts w:hint="eastAsia"/>
          <w:lang w:val="en-US" w:eastAsia="zh-Hans"/>
        </w:rPr>
        <w:t>广西通信规划设计咨询有限公司</w:t>
      </w:r>
      <w:r>
        <w:rPr>
          <w:rFonts w:hint="eastAsia"/>
        </w:rPr>
        <w:t>提出。本文件由广西</w:t>
      </w:r>
      <w:r>
        <w:rPr>
          <w:rFonts w:hint="eastAsia"/>
          <w:lang w:val="en-US" w:eastAsia="zh-Hans"/>
        </w:rPr>
        <w:t>电子学会</w:t>
      </w:r>
      <w:r>
        <w:rPr>
          <w:rFonts w:hint="eastAsia"/>
        </w:rPr>
        <w:t>归口。</w:t>
      </w:r>
    </w:p>
    <w:p>
      <w:pPr>
        <w:pStyle w:val="21"/>
        <w:rPr>
          <w:rFonts w:hint="eastAsia"/>
        </w:rPr>
      </w:pPr>
      <w:r>
        <w:rPr>
          <w:rFonts w:hint="eastAsia"/>
        </w:rPr>
        <w:t>本文件由</w:t>
      </w:r>
      <w:r>
        <w:rPr>
          <w:rFonts w:hint="eastAsia"/>
          <w:lang w:val="en-US" w:eastAsia="zh-Hans"/>
        </w:rPr>
        <w:t>广西电子学会</w:t>
      </w:r>
      <w:r>
        <w:rPr>
          <w:rFonts w:hint="eastAsia"/>
        </w:rPr>
        <w:t>宣贯。</w:t>
      </w:r>
    </w:p>
    <w:p>
      <w:pPr>
        <w:pStyle w:val="21"/>
        <w:rPr>
          <w:rFonts w:hint="eastAsia"/>
        </w:rPr>
      </w:pPr>
      <w:r>
        <w:rPr>
          <w:rFonts w:hint="eastAsia"/>
        </w:rPr>
        <w:t>本文件起草单位：</w:t>
      </w:r>
      <w:r>
        <w:rPr>
          <w:rFonts w:hint="eastAsia"/>
          <w:lang w:val="en-US" w:eastAsia="zh-Hans"/>
        </w:rPr>
        <w:t>广西通信规划设计咨询有限公司</w:t>
      </w:r>
      <w:r>
        <w:rPr>
          <w:rFonts w:hint="eastAsia"/>
        </w:rPr>
        <w:t>。</w:t>
      </w:r>
    </w:p>
    <w:p>
      <w:pPr>
        <w:pStyle w:val="21"/>
        <w:rPr>
          <w:rFonts w:hint="default"/>
          <w:lang w:val="en-US" w:eastAsia="zh-Hans"/>
        </w:rPr>
      </w:pPr>
      <w:r>
        <w:rPr>
          <w:rFonts w:hint="eastAsia"/>
        </w:rPr>
        <w:t>本文件主要起草人：</w:t>
      </w:r>
      <w:r>
        <w:rPr>
          <w:rFonts w:hint="eastAsia"/>
          <w:lang w:val="en-US" w:eastAsia="zh-Hans"/>
        </w:rPr>
        <w:t>黄耿</w:t>
      </w:r>
      <w:r>
        <w:rPr>
          <w:rFonts w:hint="default"/>
          <w:lang w:eastAsia="zh-Hans"/>
        </w:rPr>
        <w:t>、</w:t>
      </w:r>
      <w:r>
        <w:rPr>
          <w:rFonts w:hint="eastAsia"/>
          <w:lang w:val="en-US" w:eastAsia="zh-Hans"/>
        </w:rPr>
        <w:t>邓欢</w:t>
      </w:r>
      <w:r>
        <w:rPr>
          <w:rFonts w:hint="default"/>
          <w:lang w:eastAsia="zh-Hans"/>
        </w:rPr>
        <w:t>、</w:t>
      </w:r>
      <w:r>
        <w:rPr>
          <w:rFonts w:hint="eastAsia"/>
          <w:lang w:val="en-US" w:eastAsia="zh-Hans"/>
        </w:rPr>
        <w:t>林诗芹</w:t>
      </w:r>
      <w:r>
        <w:rPr>
          <w:rFonts w:hint="default"/>
          <w:lang w:eastAsia="zh-Hans"/>
        </w:rPr>
        <w:t>、</w:t>
      </w:r>
      <w:r>
        <w:rPr>
          <w:rFonts w:hint="eastAsia"/>
          <w:lang w:val="en-US" w:eastAsia="zh-Hans"/>
        </w:rPr>
        <w:t>王倩</w:t>
      </w:r>
      <w:r>
        <w:rPr>
          <w:rFonts w:hint="default"/>
          <w:lang w:eastAsia="zh-Hans"/>
        </w:rPr>
        <w:t>、</w:t>
      </w:r>
      <w:r>
        <w:rPr>
          <w:rFonts w:hint="eastAsia"/>
          <w:lang w:val="en-US" w:eastAsia="zh-Hans"/>
        </w:rPr>
        <w:t>李育晖</w:t>
      </w:r>
      <w:r>
        <w:rPr>
          <w:rFonts w:hint="default"/>
          <w:lang w:eastAsia="zh-Hans"/>
        </w:rPr>
        <w:t>、</w:t>
      </w:r>
      <w:r>
        <w:rPr>
          <w:rFonts w:hint="eastAsia"/>
          <w:lang w:val="en-US" w:eastAsia="zh-Hans"/>
        </w:rPr>
        <w:t>苏平</w:t>
      </w:r>
      <w:r>
        <w:rPr>
          <w:rFonts w:hint="default"/>
          <w:lang w:eastAsia="zh-Hans"/>
        </w:rPr>
        <w:t>、</w:t>
      </w:r>
      <w:r>
        <w:rPr>
          <w:rFonts w:hint="eastAsia"/>
          <w:lang w:val="en-US" w:eastAsia="zh-Hans"/>
        </w:rPr>
        <w:t>姜文君</w:t>
      </w:r>
      <w:r>
        <w:rPr>
          <w:rFonts w:hint="default"/>
          <w:lang w:eastAsia="zh-Hans"/>
        </w:rPr>
        <w:t>、</w:t>
      </w:r>
      <w:r>
        <w:rPr>
          <w:rFonts w:hint="eastAsia"/>
          <w:lang w:val="en-US" w:eastAsia="zh-Hans"/>
        </w:rPr>
        <w:t>李雅箐</w:t>
      </w:r>
      <w:r>
        <w:rPr>
          <w:rFonts w:hint="default"/>
          <w:lang w:eastAsia="zh-Hans"/>
        </w:rPr>
        <w:t>、</w:t>
      </w:r>
      <w:r>
        <w:rPr>
          <w:rFonts w:hint="eastAsia"/>
          <w:lang w:val="en-US" w:eastAsia="zh-Hans"/>
        </w:rPr>
        <w:t>高维诚</w:t>
      </w:r>
      <w:r>
        <w:rPr>
          <w:rFonts w:hint="default"/>
          <w:lang w:eastAsia="zh-Hans"/>
        </w:rPr>
        <w:t>、</w:t>
      </w:r>
      <w:r>
        <w:rPr>
          <w:rFonts w:hint="eastAsia"/>
          <w:lang w:val="en-US" w:eastAsia="zh-Hans"/>
        </w:rPr>
        <w:t>黄婷</w:t>
      </w:r>
      <w:r>
        <w:rPr>
          <w:rFonts w:hint="default"/>
          <w:lang w:eastAsia="zh-Hans"/>
        </w:rPr>
        <w:t>、</w:t>
      </w:r>
      <w:r>
        <w:rPr>
          <w:rFonts w:hint="eastAsia"/>
          <w:lang w:val="en-US" w:eastAsia="zh-Hans"/>
        </w:rPr>
        <w:t>刘蕙</w:t>
      </w:r>
      <w:r>
        <w:rPr>
          <w:rFonts w:hint="default"/>
          <w:lang w:eastAsia="zh-Hans"/>
        </w:rPr>
        <w:t>、</w:t>
      </w:r>
      <w:r>
        <w:rPr>
          <w:rFonts w:hint="eastAsia"/>
          <w:lang w:val="en-US" w:eastAsia="zh-Hans"/>
        </w:rPr>
        <w:t>梁宇</w:t>
      </w:r>
      <w:r>
        <w:rPr>
          <w:rFonts w:hint="default"/>
          <w:lang w:eastAsia="zh-Hans"/>
        </w:rPr>
        <w:t>、</w:t>
      </w:r>
      <w:r>
        <w:rPr>
          <w:rFonts w:hint="eastAsia"/>
          <w:lang w:val="en-US" w:eastAsia="zh-Hans"/>
        </w:rPr>
        <w:t>陈勇</w:t>
      </w:r>
      <w:r>
        <w:rPr>
          <w:rFonts w:hint="default"/>
          <w:lang w:eastAsia="zh-Hans"/>
        </w:rPr>
        <w:t>、</w:t>
      </w:r>
      <w:r>
        <w:rPr>
          <w:rFonts w:hint="eastAsia"/>
          <w:lang w:val="en-US" w:eastAsia="zh-Hans"/>
        </w:rPr>
        <w:t>蒙桂芳</w:t>
      </w:r>
      <w:r>
        <w:rPr>
          <w:rFonts w:hint="default"/>
          <w:lang w:eastAsia="zh-Hans"/>
        </w:rPr>
        <w:t>、</w:t>
      </w:r>
      <w:r>
        <w:rPr>
          <w:rFonts w:hint="eastAsia"/>
          <w:lang w:val="en-US" w:eastAsia="zh-Hans"/>
        </w:rPr>
        <w:t>宾春梅</w:t>
      </w:r>
    </w:p>
    <w:p>
      <w:pPr>
        <w:pStyle w:val="21"/>
        <w:rPr>
          <w:rFonts w:hint="eastAsia"/>
        </w:rPr>
      </w:pPr>
    </w:p>
    <w:p>
      <w:pPr>
        <w:pStyle w:val="21"/>
        <w:rPr>
          <w:rFonts w:hint="eastAsia"/>
        </w:rPr>
      </w:pPr>
    </w:p>
    <w:p>
      <w:pPr>
        <w:pStyle w:val="47"/>
        <w:rPr>
          <w:rFonts w:hint="eastAsia"/>
        </w:rPr>
      </w:pPr>
      <w:r>
        <w:rPr>
          <w:rFonts w:hint="eastAsia"/>
        </w:rPr>
        <w:t>数</w:t>
      </w:r>
      <w:bookmarkStart w:id="11" w:name="StandardName"/>
      <w:r>
        <w:rPr>
          <w:rFonts w:hint="eastAsia"/>
        </w:rPr>
        <w:t>字乡村建设</w:t>
      </w:r>
      <w:r>
        <w:rPr>
          <w:rFonts w:hint="eastAsia"/>
          <w:lang w:val="en-US" w:eastAsia="zh-CN"/>
        </w:rPr>
        <w:t>标准</w:t>
      </w:r>
      <w:r>
        <w:rPr>
          <w:rFonts w:hint="eastAsia"/>
        </w:rPr>
        <w:t>     </w:t>
      </w:r>
      <w:bookmarkEnd w:id="11"/>
    </w:p>
    <w:p>
      <w:pPr>
        <w:pStyle w:val="42"/>
        <w:rPr>
          <w:rFonts w:hint="eastAsia"/>
        </w:rPr>
      </w:pPr>
      <w:bookmarkStart w:id="12" w:name="_Toc23429"/>
      <w:bookmarkStart w:id="13" w:name="_Toc31810"/>
      <w:bookmarkStart w:id="14" w:name="_Toc12496"/>
      <w:r>
        <w:rPr>
          <w:rFonts w:hint="eastAsia"/>
        </w:rPr>
        <w:t>范围</w:t>
      </w:r>
      <w:bookmarkEnd w:id="12"/>
      <w:bookmarkEnd w:id="13"/>
      <w:bookmarkEnd w:id="14"/>
    </w:p>
    <w:p>
      <w:pPr>
        <w:pStyle w:val="21"/>
        <w:rPr>
          <w:rFonts w:hint="eastAsia"/>
        </w:rPr>
      </w:pPr>
      <w:r>
        <w:rPr>
          <w:rFonts w:hint="eastAsia"/>
        </w:rPr>
        <w:t>本标准规定了数字乡村建设的建设原则、</w:t>
      </w:r>
      <w:r>
        <w:rPr>
          <w:rFonts w:hint="eastAsia"/>
          <w:lang w:val="en-US" w:eastAsia="zh-CN"/>
        </w:rPr>
        <w:t>基础设施、数字农业、电子商务、智慧旅游、数字金融、公共服务、网络文化、数字治理、绿色乡村、数字帮扶、运营管理和安全保障</w:t>
      </w:r>
      <w:r>
        <w:rPr>
          <w:rFonts w:hint="eastAsia"/>
        </w:rPr>
        <w:t>。</w:t>
      </w:r>
    </w:p>
    <w:p>
      <w:pPr>
        <w:pStyle w:val="21"/>
        <w:rPr>
          <w:rFonts w:hint="eastAsia"/>
        </w:rPr>
      </w:pPr>
      <w:r>
        <w:rPr>
          <w:rFonts w:hint="eastAsia"/>
        </w:rPr>
        <w:t>本标准适用于数字乡村建设。</w:t>
      </w:r>
    </w:p>
    <w:p>
      <w:pPr>
        <w:pStyle w:val="42"/>
        <w:rPr>
          <w:rFonts w:hint="eastAsia"/>
        </w:rPr>
      </w:pPr>
      <w:bookmarkStart w:id="15" w:name="_Toc14004"/>
      <w:bookmarkStart w:id="16" w:name="_Toc1012"/>
      <w:bookmarkStart w:id="17" w:name="_Toc2780"/>
      <w:r>
        <w:rPr>
          <w:rFonts w:hint="eastAsia"/>
        </w:rPr>
        <w:t>规范性引用文件</w:t>
      </w:r>
      <w:bookmarkEnd w:id="15"/>
      <w:bookmarkEnd w:id="16"/>
      <w:bookmarkEnd w:id="17"/>
    </w:p>
    <w:p>
      <w:pPr>
        <w:pStyle w:val="21"/>
        <w:rPr>
          <w:rFonts w:hint="eastAsia"/>
        </w:rPr>
      </w:pPr>
      <w:r>
        <w:rPr>
          <w:rFonts w:hint="eastAsia"/>
        </w:rPr>
        <w:t>下列文件中的内容通过文中的规范性引用而构成本文件必不可少的条款</w:t>
      </w:r>
      <w:r>
        <w:rPr>
          <w:rFonts w:hint="eastAsia"/>
          <w:lang w:eastAsia="zh-CN"/>
        </w:rPr>
        <w:t>。</w:t>
      </w:r>
      <w:r>
        <w:rPr>
          <w:rFonts w:hint="eastAsia"/>
          <w:lang w:val="en-US" w:eastAsia="zh-CN"/>
        </w:rPr>
        <w:t>其中，</w:t>
      </w:r>
      <w:r>
        <w:rPr>
          <w:rFonts w:hint="eastAsia"/>
        </w:rPr>
        <w:t>注日期的引用文件，仅该日期对应的版本适用于本文件；不注日期的引用文件，其最新版本（包括所有的修改单）适用于本文件。</w:t>
      </w:r>
    </w:p>
    <w:p>
      <w:pPr>
        <w:pStyle w:val="21"/>
        <w:rPr>
          <w:rFonts w:hint="default" w:ascii="宋体" w:hAnsi="Times New Roman" w:eastAsia="宋体" w:cs="Times New Roman"/>
          <w:sz w:val="21"/>
          <w:szCs w:val="21"/>
          <w:lang w:val="en-US" w:eastAsia="zh-CN" w:bidi="ar-SA"/>
        </w:rPr>
      </w:pPr>
      <w:r>
        <w:rPr>
          <w:rFonts w:hint="eastAsia" w:ascii="宋体" w:hAnsi="Times New Roman" w:eastAsia="宋体" w:cs="Times New Roman"/>
          <w:sz w:val="21"/>
          <w:szCs w:val="21"/>
          <w:lang w:val="en-US" w:eastAsia="zh-CN" w:bidi="ar-SA"/>
        </w:rPr>
        <w:t>GB/T 20269</w:t>
      </w:r>
      <w:r>
        <w:rPr>
          <w:rFonts w:hint="eastAsia" w:cs="Times New Roman"/>
          <w:sz w:val="21"/>
          <w:szCs w:val="21"/>
          <w:lang w:val="en-US" w:eastAsia="zh-CN" w:bidi="ar-SA"/>
        </w:rPr>
        <w:t xml:space="preserve">  信息安全技术　信息系统安全管理要求</w:t>
      </w:r>
    </w:p>
    <w:p>
      <w:pPr>
        <w:pStyle w:val="21"/>
        <w:rPr>
          <w:rFonts w:hint="default" w:ascii="宋体" w:hAnsi="Times New Roman" w:eastAsia="宋体" w:cs="Times New Roman"/>
          <w:sz w:val="21"/>
          <w:szCs w:val="21"/>
          <w:lang w:val="en-US" w:eastAsia="zh-CN" w:bidi="ar-SA"/>
        </w:rPr>
      </w:pPr>
      <w:r>
        <w:rPr>
          <w:rFonts w:hint="eastAsia" w:ascii="宋体" w:hAnsi="Times New Roman" w:eastAsia="宋体" w:cs="Times New Roman"/>
          <w:sz w:val="21"/>
          <w:szCs w:val="21"/>
          <w:lang w:val="en-US" w:eastAsia="zh-CN" w:bidi="ar-SA"/>
        </w:rPr>
        <w:t>GB/T 20270</w:t>
      </w:r>
      <w:r>
        <w:rPr>
          <w:rFonts w:hint="eastAsia" w:cs="Times New Roman"/>
          <w:sz w:val="21"/>
          <w:szCs w:val="21"/>
          <w:lang w:val="en-US" w:eastAsia="zh-CN" w:bidi="ar-SA"/>
        </w:rPr>
        <w:t xml:space="preserve">  信息安全技术  网络基础安全技术要求</w:t>
      </w:r>
    </w:p>
    <w:p>
      <w:pPr>
        <w:pStyle w:val="21"/>
        <w:rPr>
          <w:rFonts w:hint="default" w:ascii="宋体" w:hAnsi="Times New Roman" w:eastAsia="宋体" w:cs="Times New Roman"/>
          <w:sz w:val="21"/>
          <w:szCs w:val="21"/>
          <w:lang w:val="en-US" w:eastAsia="zh-CN" w:bidi="ar-SA"/>
        </w:rPr>
      </w:pPr>
      <w:r>
        <w:rPr>
          <w:rFonts w:hint="eastAsia" w:ascii="宋体" w:hAnsi="Times New Roman" w:eastAsia="宋体" w:cs="Times New Roman"/>
          <w:sz w:val="21"/>
          <w:szCs w:val="21"/>
          <w:lang w:val="en-US" w:eastAsia="zh-CN" w:bidi="ar-SA"/>
        </w:rPr>
        <w:t>CB/T 20271</w:t>
      </w:r>
      <w:r>
        <w:rPr>
          <w:rFonts w:hint="eastAsia" w:cs="Times New Roman"/>
          <w:sz w:val="21"/>
          <w:szCs w:val="21"/>
          <w:lang w:val="en-US" w:eastAsia="zh-CN" w:bidi="ar-SA"/>
        </w:rPr>
        <w:t xml:space="preserve">  信息安全技术　信息系统通用安全技术要求</w:t>
      </w:r>
    </w:p>
    <w:p>
      <w:pPr>
        <w:pStyle w:val="21"/>
        <w:rPr>
          <w:rFonts w:hint="default" w:ascii="宋体" w:hAnsi="Times New Roman" w:eastAsia="宋体" w:cs="Times New Roman"/>
          <w:sz w:val="21"/>
          <w:szCs w:val="21"/>
          <w:lang w:val="en-US" w:eastAsia="zh-CN" w:bidi="ar-SA"/>
        </w:rPr>
      </w:pPr>
      <w:r>
        <w:rPr>
          <w:rFonts w:hint="eastAsia" w:ascii="宋体" w:hAnsi="Times New Roman" w:eastAsia="宋体" w:cs="Times New Roman"/>
          <w:sz w:val="21"/>
          <w:szCs w:val="21"/>
          <w:lang w:val="en-US" w:eastAsia="zh-CN" w:bidi="ar-SA"/>
        </w:rPr>
        <w:t>GB/T 20272</w:t>
      </w:r>
      <w:r>
        <w:rPr>
          <w:rFonts w:hint="eastAsia" w:cs="Times New Roman"/>
          <w:sz w:val="21"/>
          <w:szCs w:val="21"/>
          <w:lang w:val="en-US" w:eastAsia="zh-CN" w:bidi="ar-SA"/>
        </w:rPr>
        <w:t xml:space="preserve">  信息安全技术  操作系统安全技术要求</w:t>
      </w:r>
    </w:p>
    <w:p>
      <w:pPr>
        <w:pStyle w:val="21"/>
        <w:rPr>
          <w:rFonts w:hint="eastAsia" w:cs="Times New Roman"/>
          <w:sz w:val="21"/>
          <w:szCs w:val="21"/>
          <w:lang w:val="en-US" w:eastAsia="zh-CN" w:bidi="ar-SA"/>
        </w:rPr>
      </w:pPr>
      <w:r>
        <w:rPr>
          <w:rFonts w:hint="eastAsia" w:cs="Times New Roman"/>
          <w:sz w:val="21"/>
          <w:szCs w:val="21"/>
          <w:lang w:val="en-US" w:eastAsia="zh-CN" w:bidi="ar-SA"/>
        </w:rPr>
        <w:t>G</w:t>
      </w:r>
      <w:r>
        <w:rPr>
          <w:rFonts w:hint="eastAsia" w:ascii="宋体" w:hAnsi="Times New Roman" w:eastAsia="宋体" w:cs="Times New Roman"/>
          <w:sz w:val="21"/>
          <w:szCs w:val="21"/>
          <w:lang w:val="en-US" w:eastAsia="zh-CN" w:bidi="ar-SA"/>
        </w:rPr>
        <w:t>B/T 20273</w:t>
      </w:r>
      <w:r>
        <w:rPr>
          <w:rFonts w:hint="eastAsia" w:cs="Times New Roman"/>
          <w:sz w:val="21"/>
          <w:szCs w:val="21"/>
          <w:lang w:val="en-US" w:eastAsia="zh-CN" w:bidi="ar-SA"/>
        </w:rPr>
        <w:t xml:space="preserve">  信息安全技术  数据库管理系统安全技术要求</w:t>
      </w:r>
    </w:p>
    <w:p>
      <w:pPr>
        <w:pStyle w:val="21"/>
        <w:rPr>
          <w:rFonts w:hint="eastAsia"/>
        </w:rPr>
      </w:pPr>
      <w:r>
        <w:rPr>
          <w:rFonts w:hint="eastAsia"/>
        </w:rPr>
        <w:t>GB/T 20299.1  建筑及居住区数字化技术应用第1部分</w:t>
      </w:r>
      <w:r>
        <w:rPr>
          <w:rFonts w:hint="eastAsia"/>
          <w:lang w:eastAsia="zh-CN"/>
        </w:rPr>
        <w:t>：</w:t>
      </w:r>
      <w:r>
        <w:rPr>
          <w:rFonts w:hint="eastAsia"/>
        </w:rPr>
        <w:t>系统通用要求</w:t>
      </w:r>
    </w:p>
    <w:p>
      <w:pPr>
        <w:pStyle w:val="21"/>
        <w:rPr>
          <w:rFonts w:hint="default" w:cs="Times New Roman"/>
          <w:sz w:val="21"/>
          <w:szCs w:val="21"/>
          <w:lang w:val="en-US" w:eastAsia="zh-CN" w:bidi="ar-SA"/>
        </w:rPr>
      </w:pPr>
      <w:r>
        <w:rPr>
          <w:rFonts w:hint="default" w:cs="Times New Roman"/>
          <w:sz w:val="21"/>
          <w:szCs w:val="21"/>
          <w:lang w:val="en-US" w:eastAsia="zh-CN" w:bidi="ar-SA"/>
        </w:rPr>
        <w:t>GB/T 33407</w:t>
      </w:r>
      <w:r>
        <w:rPr>
          <w:rFonts w:hint="eastAsia" w:cs="Times New Roman"/>
          <w:sz w:val="21"/>
          <w:szCs w:val="21"/>
          <w:lang w:val="en-US" w:eastAsia="zh-CN" w:bidi="ar-SA"/>
        </w:rPr>
        <w:t xml:space="preserve">  </w:t>
      </w:r>
      <w:r>
        <w:rPr>
          <w:rFonts w:hint="default" w:cs="Times New Roman"/>
          <w:sz w:val="21"/>
          <w:szCs w:val="21"/>
          <w:lang w:val="en-US" w:eastAsia="zh-CN" w:bidi="ar-SA"/>
        </w:rPr>
        <w:t>农业社会化服务　农业技术推广服务组织建设指南</w:t>
      </w:r>
    </w:p>
    <w:p>
      <w:pPr>
        <w:pStyle w:val="21"/>
        <w:rPr>
          <w:rFonts w:hint="eastAsia"/>
        </w:rPr>
      </w:pPr>
      <w:r>
        <w:rPr>
          <w:rFonts w:hint="eastAsia"/>
        </w:rPr>
        <w:t xml:space="preserve">GB/T 36346 </w:t>
      </w:r>
      <w:r>
        <w:rPr>
          <w:rFonts w:hint="eastAsia"/>
          <w:lang w:val="en-US" w:eastAsia="zh-CN"/>
        </w:rPr>
        <w:t xml:space="preserve"> </w:t>
      </w:r>
      <w:r>
        <w:rPr>
          <w:rFonts w:hint="eastAsia"/>
        </w:rPr>
        <w:t>信息技术 面向设施农业应用的传感器网络技术要求</w:t>
      </w:r>
    </w:p>
    <w:p>
      <w:pPr>
        <w:pStyle w:val="21"/>
        <w:rPr>
          <w:rFonts w:hint="eastAsia"/>
        </w:rPr>
      </w:pPr>
      <w:r>
        <w:rPr>
          <w:rFonts w:hint="eastAsia"/>
        </w:rPr>
        <w:t xml:space="preserve">GB/T 37060 </w:t>
      </w:r>
      <w:r>
        <w:rPr>
          <w:rFonts w:hint="eastAsia"/>
          <w:lang w:val="en-US" w:eastAsia="zh-CN"/>
        </w:rPr>
        <w:t xml:space="preserve"> </w:t>
      </w:r>
      <w:r>
        <w:rPr>
          <w:rFonts w:hint="eastAsia"/>
        </w:rPr>
        <w:t>农产品流通信息管理技术通则</w:t>
      </w:r>
    </w:p>
    <w:p>
      <w:pPr>
        <w:pStyle w:val="21"/>
        <w:rPr>
          <w:rFonts w:hint="eastAsia"/>
        </w:rPr>
      </w:pPr>
      <w:r>
        <w:rPr>
          <w:rFonts w:hint="eastAsia"/>
        </w:rPr>
        <w:t>GB/T 37690  农业社会化服务农业信息服务导则</w:t>
      </w:r>
    </w:p>
    <w:p>
      <w:pPr>
        <w:pStyle w:val="21"/>
        <w:rPr>
          <w:rFonts w:hint="eastAsia"/>
        </w:rPr>
      </w:pPr>
      <w:r>
        <w:rPr>
          <w:rFonts w:hint="eastAsia"/>
        </w:rPr>
        <w:t>GB/T 37802  农田信息监测点选址要求和监测规范</w:t>
      </w:r>
    </w:p>
    <w:p>
      <w:pPr>
        <w:pStyle w:val="21"/>
        <w:rPr>
          <w:rFonts w:hint="eastAsia"/>
        </w:rPr>
      </w:pPr>
      <w:r>
        <w:rPr>
          <w:rFonts w:hint="eastAsia"/>
        </w:rPr>
        <w:t>GB/T</w:t>
      </w:r>
      <w:r>
        <w:rPr>
          <w:rFonts w:hint="eastAsia"/>
          <w:lang w:val="en-US" w:eastAsia="zh-CN"/>
        </w:rPr>
        <w:t xml:space="preserve"> </w:t>
      </w:r>
      <w:r>
        <w:rPr>
          <w:rFonts w:hint="eastAsia"/>
        </w:rPr>
        <w:t>38321  建筑及居住区数字化技术应用　家庭网络信息化平台</w:t>
      </w:r>
    </w:p>
    <w:p>
      <w:pPr>
        <w:pStyle w:val="21"/>
        <w:rPr>
          <w:rFonts w:hint="eastAsia"/>
        </w:rPr>
      </w:pPr>
      <w:r>
        <w:rPr>
          <w:rFonts w:hint="eastAsia"/>
        </w:rPr>
        <w:t>GB/T 39972  国土空间规划“一张图”实施监督信息系统技术规范</w:t>
      </w:r>
    </w:p>
    <w:p>
      <w:pPr>
        <w:pStyle w:val="21"/>
        <w:rPr>
          <w:rFonts w:hint="eastAsia"/>
        </w:rPr>
      </w:pPr>
      <w:r>
        <w:rPr>
          <w:rFonts w:hint="eastAsia"/>
        </w:rPr>
        <w:t>GB/T 41444  农业地理信息系统基本要求</w:t>
      </w:r>
    </w:p>
    <w:p>
      <w:pPr>
        <w:pStyle w:val="21"/>
        <w:rPr>
          <w:rFonts w:hint="eastAsia" w:ascii="宋体" w:hAnsi="Times New Roman" w:eastAsia="宋体" w:cs="Times New Roman"/>
          <w:sz w:val="21"/>
          <w:szCs w:val="21"/>
          <w:lang w:val="en-US" w:eastAsia="zh-CN" w:bidi="ar-SA"/>
        </w:rPr>
      </w:pPr>
      <w:r>
        <w:rPr>
          <w:rFonts w:hint="eastAsia"/>
        </w:rPr>
        <w:t>NB/T 42058</w:t>
      </w:r>
      <w:r>
        <w:rPr>
          <w:rFonts w:hint="eastAsia"/>
          <w:lang w:val="en-US" w:eastAsia="zh-CN"/>
        </w:rPr>
        <w:t xml:space="preserve"> </w:t>
      </w:r>
      <w:r>
        <w:rPr>
          <w:rFonts w:hint="eastAsia"/>
        </w:rPr>
        <w:t xml:space="preserve"> 智能电网用户端系统通用技术要求</w:t>
      </w:r>
    </w:p>
    <w:p>
      <w:pPr>
        <w:pStyle w:val="21"/>
        <w:rPr>
          <w:rFonts w:hint="eastAsia"/>
        </w:rPr>
      </w:pPr>
      <w:r>
        <w:rPr>
          <w:rFonts w:hint="eastAsia"/>
        </w:rPr>
        <w:t xml:space="preserve">NY/T 1782 </w:t>
      </w:r>
      <w:r>
        <w:rPr>
          <w:rFonts w:hint="eastAsia"/>
          <w:lang w:val="en-US" w:eastAsia="zh-CN"/>
        </w:rPr>
        <w:t xml:space="preserve"> </w:t>
      </w:r>
      <w:r>
        <w:rPr>
          <w:rFonts w:hint="eastAsia"/>
        </w:rPr>
        <w:t xml:space="preserve"> 农田土壤墒情监测技术规范</w:t>
      </w:r>
    </w:p>
    <w:p>
      <w:pPr>
        <w:pStyle w:val="21"/>
        <w:rPr>
          <w:rFonts w:hint="eastAsia"/>
        </w:rPr>
      </w:pPr>
      <w:r>
        <w:rPr>
          <w:rFonts w:hint="eastAsia"/>
        </w:rPr>
        <w:t>QX/T 326</w:t>
      </w:r>
      <w:r>
        <w:rPr>
          <w:rFonts w:hint="eastAsia"/>
          <w:lang w:val="en-US" w:eastAsia="zh-CN"/>
        </w:rPr>
        <w:t xml:space="preserve">    </w:t>
      </w:r>
      <w:r>
        <w:rPr>
          <w:rFonts w:hint="eastAsia"/>
        </w:rPr>
        <w:t>农村气象灾害预警信息传播指南</w:t>
      </w:r>
    </w:p>
    <w:p>
      <w:pPr>
        <w:pStyle w:val="21"/>
        <w:rPr>
          <w:rFonts w:hint="eastAsia"/>
        </w:rPr>
      </w:pPr>
      <w:r>
        <w:rPr>
          <w:rFonts w:hint="eastAsia"/>
        </w:rPr>
        <w:t>NY/T 3177</w:t>
      </w:r>
      <w:r>
        <w:rPr>
          <w:rFonts w:hint="eastAsia"/>
          <w:lang w:val="en-US" w:eastAsia="zh-CN"/>
        </w:rPr>
        <w:t xml:space="preserve">   农产品分类与代码</w:t>
      </w:r>
    </w:p>
    <w:p>
      <w:pPr>
        <w:pStyle w:val="21"/>
        <w:rPr>
          <w:rFonts w:hint="eastAsia"/>
        </w:rPr>
      </w:pPr>
      <w:r>
        <w:rPr>
          <w:rFonts w:hint="eastAsia"/>
        </w:rPr>
        <w:t xml:space="preserve">JR/T 0157 </w:t>
      </w:r>
      <w:r>
        <w:rPr>
          <w:rFonts w:hint="eastAsia"/>
          <w:lang w:val="en-US" w:eastAsia="zh-CN"/>
        </w:rPr>
        <w:t xml:space="preserve"> </w:t>
      </w:r>
      <w:r>
        <w:rPr>
          <w:rFonts w:hint="eastAsia"/>
        </w:rPr>
        <w:t xml:space="preserve"> 农村普惠金融服务点 支付服务点技术规范</w:t>
      </w:r>
    </w:p>
    <w:p>
      <w:pPr>
        <w:pStyle w:val="21"/>
        <w:rPr>
          <w:rFonts w:hint="eastAsia"/>
        </w:rPr>
      </w:pPr>
      <w:r>
        <w:rPr>
          <w:rFonts w:hint="eastAsia"/>
        </w:rPr>
        <w:t xml:space="preserve">YD/T 4012 </w:t>
      </w:r>
      <w:r>
        <w:rPr>
          <w:rFonts w:hint="eastAsia"/>
          <w:lang w:val="en-US" w:eastAsia="zh-CN"/>
        </w:rPr>
        <w:t xml:space="preserve"> </w:t>
      </w:r>
      <w:r>
        <w:rPr>
          <w:rFonts w:hint="eastAsia"/>
        </w:rPr>
        <w:t xml:space="preserve"> 5G网络管理技术要求 通用管理服务</w:t>
      </w:r>
    </w:p>
    <w:p>
      <w:pPr>
        <w:pStyle w:val="42"/>
        <w:rPr>
          <w:rFonts w:hint="eastAsia"/>
        </w:rPr>
      </w:pPr>
      <w:bookmarkStart w:id="18" w:name="_Toc7923"/>
      <w:bookmarkStart w:id="19" w:name="_Toc8927"/>
      <w:bookmarkStart w:id="20" w:name="_Toc684"/>
      <w:r>
        <w:rPr>
          <w:rFonts w:hint="eastAsia"/>
        </w:rPr>
        <w:t>术语和定义</w:t>
      </w:r>
      <w:bookmarkEnd w:id="18"/>
      <w:bookmarkEnd w:id="19"/>
      <w:bookmarkEnd w:id="20"/>
      <w:bookmarkStart w:id="21" w:name="_Toc9930"/>
      <w:bookmarkEnd w:id="21"/>
    </w:p>
    <w:p>
      <w:pPr>
        <w:pStyle w:val="21"/>
        <w:rPr>
          <w:rFonts w:hint="eastAsia"/>
          <w:lang w:eastAsia="zh-CN"/>
        </w:rPr>
      </w:pPr>
      <w:r>
        <w:rPr>
          <w:rFonts w:hint="eastAsia"/>
        </w:rPr>
        <w:t>本文件没有需要界定的术语和定义</w:t>
      </w:r>
      <w:r>
        <w:rPr>
          <w:rFonts w:hint="eastAsia"/>
          <w:lang w:eastAsia="zh-CN"/>
        </w:rPr>
        <w:t>。</w:t>
      </w:r>
    </w:p>
    <w:p>
      <w:pPr>
        <w:pStyle w:val="21"/>
        <w:rPr>
          <w:rFonts w:hint="eastAsia"/>
          <w:lang w:eastAsia="zh-CN"/>
        </w:rPr>
      </w:pPr>
    </w:p>
    <w:p>
      <w:pPr>
        <w:pStyle w:val="42"/>
      </w:pPr>
      <w:bookmarkStart w:id="22" w:name="_Toc12530"/>
      <w:bookmarkStart w:id="23" w:name="_Toc9149"/>
      <w:bookmarkStart w:id="24" w:name="_Toc789"/>
      <w:r>
        <w:rPr>
          <w:rFonts w:hint="eastAsia"/>
        </w:rPr>
        <w:t>建设原则</w:t>
      </w:r>
      <w:bookmarkEnd w:id="22"/>
      <w:bookmarkEnd w:id="23"/>
      <w:bookmarkEnd w:id="24"/>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bookmarkStart w:id="25" w:name="_Toc26866"/>
      <w:bookmarkStart w:id="26" w:name="OLE_LINK1"/>
      <w:r>
        <w:rPr>
          <w:rFonts w:hint="eastAsia" w:ascii="宋体" w:hAnsi="宋体" w:eastAsia="宋体" w:cs="宋体"/>
        </w:rPr>
        <w:t>科学统筹、协同推进。</w:t>
      </w:r>
      <w:bookmarkEnd w:id="25"/>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ascii="宋体" w:hAnsi="宋体" w:eastAsia="宋体" w:cs="宋体"/>
        </w:rPr>
      </w:pPr>
      <w:bookmarkStart w:id="27" w:name="_Toc13564"/>
      <w:r>
        <w:rPr>
          <w:rFonts w:ascii="宋体" w:hAnsi="宋体" w:eastAsia="宋体" w:cs="宋体"/>
        </w:rPr>
        <w:t>夯实基础、强化应用。</w:t>
      </w:r>
      <w:bookmarkEnd w:id="27"/>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bookmarkStart w:id="28" w:name="_Toc20078"/>
      <w:r>
        <w:rPr>
          <w:rFonts w:hint="eastAsia" w:ascii="宋体" w:hAnsi="宋体" w:eastAsia="宋体" w:cs="宋体"/>
        </w:rPr>
        <w:t>综合运用、深度融合。</w:t>
      </w:r>
      <w:bookmarkEnd w:id="28"/>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bookmarkStart w:id="29" w:name="_Toc15447"/>
      <w:r>
        <w:rPr>
          <w:rFonts w:hint="eastAsia" w:ascii="宋体" w:hAnsi="宋体" w:eastAsia="宋体" w:cs="宋体"/>
        </w:rPr>
        <w:t>因地制宜、稳步推进。</w:t>
      </w:r>
      <w:bookmarkEnd w:id="29"/>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rPr>
      </w:pPr>
      <w:bookmarkStart w:id="30" w:name="_Toc27406"/>
      <w:r>
        <w:rPr>
          <w:rFonts w:hint="eastAsia" w:ascii="宋体" w:hAnsi="宋体" w:eastAsia="宋体" w:cs="宋体"/>
        </w:rPr>
        <w:t>完善保障、确保安全。</w:t>
      </w:r>
      <w:bookmarkEnd w:id="30"/>
    </w:p>
    <w:bookmarkEnd w:id="26"/>
    <w:p>
      <w:pPr>
        <w:pStyle w:val="42"/>
      </w:pPr>
      <w:bookmarkStart w:id="31" w:name="_Toc7490"/>
      <w:bookmarkStart w:id="32" w:name="_Toc7165"/>
      <w:bookmarkStart w:id="33" w:name="_Toc16393"/>
      <w:r>
        <w:rPr>
          <w:rFonts w:hint="eastAsia"/>
        </w:rPr>
        <w:t>基础设施</w:t>
      </w:r>
      <w:bookmarkEnd w:id="31"/>
      <w:bookmarkEnd w:id="32"/>
      <w:bookmarkEnd w:id="33"/>
    </w:p>
    <w:p>
      <w:pPr>
        <w:pStyle w:val="39"/>
        <w:rPr>
          <w:rFonts w:hint="eastAsia"/>
        </w:rPr>
      </w:pPr>
      <w:bookmarkStart w:id="34" w:name="_Toc10578"/>
      <w:r>
        <w:rPr>
          <w:rFonts w:ascii="Times New Roman"/>
        </w:rPr>
        <w:t xml:space="preserve">网络基础设施 </w:t>
      </w:r>
      <w:bookmarkEnd w:id="34"/>
    </w:p>
    <w:p>
      <w:pPr>
        <w:pStyle w:val="39"/>
      </w:pPr>
      <w:bookmarkStart w:id="35" w:name="_Toc23730"/>
      <w:r>
        <w:t>传统基础设施</w:t>
      </w:r>
      <w:bookmarkEnd w:id="35"/>
    </w:p>
    <w:p>
      <w:pPr>
        <w:pStyle w:val="39"/>
        <w:rPr>
          <w:rFonts w:ascii="Times New Roman"/>
          <w:kern w:val="2"/>
        </w:rPr>
      </w:pPr>
      <w:bookmarkStart w:id="36" w:name="_Toc13204"/>
      <w:r>
        <w:t xml:space="preserve">数据资源    </w:t>
      </w:r>
      <w:bookmarkEnd w:id="36"/>
    </w:p>
    <w:p>
      <w:pPr>
        <w:pStyle w:val="60"/>
        <w:numPr>
          <w:ilvl w:val="2"/>
          <w:numId w:val="0"/>
        </w:numPr>
        <w:ind w:leftChars="0"/>
        <w:rPr>
          <w:rFonts w:hint="eastAsia"/>
        </w:rPr>
      </w:pPr>
      <w:r>
        <w:rPr>
          <w:rFonts w:hint="eastAsia"/>
        </w:rPr>
        <w:t>建立健全本级乡村数据资源目录，</w:t>
      </w:r>
      <w:r>
        <w:rPr>
          <w:rFonts w:hint="eastAsia"/>
          <w:highlight w:val="none"/>
        </w:rPr>
        <w:t>建立基础数据库，</w:t>
      </w:r>
      <w:r>
        <w:rPr>
          <w:rFonts w:hint="eastAsia"/>
        </w:rPr>
        <w:t>建立专题</w:t>
      </w:r>
      <w:r>
        <w:rPr>
          <w:rFonts w:hint="eastAsia"/>
          <w:lang w:val="en-US" w:eastAsia="zh-CN"/>
        </w:rPr>
        <w:t>数据</w:t>
      </w:r>
      <w:r>
        <w:rPr>
          <w:rFonts w:hint="eastAsia"/>
        </w:rPr>
        <w:t>库，归集与农业生产经营、农业农村管理和服务相关的数据资源。</w:t>
      </w:r>
    </w:p>
    <w:p>
      <w:pPr>
        <w:pStyle w:val="39"/>
      </w:pPr>
      <w:bookmarkStart w:id="37" w:name="_Toc29592"/>
      <w:r>
        <w:t>数据</w:t>
      </w:r>
      <w:r>
        <w:rPr>
          <w:rFonts w:hint="eastAsia"/>
          <w:lang w:eastAsia="zh-CN"/>
        </w:rPr>
        <w:t>服务</w:t>
      </w:r>
      <w:r>
        <w:t xml:space="preserve">      </w:t>
      </w:r>
      <w:bookmarkEnd w:id="37"/>
    </w:p>
    <w:p>
      <w:pPr>
        <w:pStyle w:val="60"/>
        <w:numPr>
          <w:ilvl w:val="2"/>
          <w:numId w:val="0"/>
        </w:numPr>
        <w:ind w:leftChars="0"/>
        <w:rPr>
          <w:rFonts w:hint="eastAsia"/>
          <w:highlight w:val="none"/>
        </w:rPr>
      </w:pPr>
      <w:r>
        <w:rPr>
          <w:rFonts w:hint="eastAsia"/>
          <w:highlight w:val="none"/>
          <w:lang w:val="en-US" w:eastAsia="zh-CN"/>
        </w:rPr>
        <w:t>应</w:t>
      </w:r>
      <w:r>
        <w:rPr>
          <w:rFonts w:hint="eastAsia"/>
          <w:highlight w:val="none"/>
        </w:rPr>
        <w:t>利用</w:t>
      </w:r>
      <w:r>
        <w:rPr>
          <w:rFonts w:hint="eastAsia"/>
          <w:highlight w:val="none"/>
          <w:lang w:val="en-US" w:eastAsia="zh-CN"/>
        </w:rPr>
        <w:t>省、市级</w:t>
      </w:r>
      <w:r>
        <w:rPr>
          <w:rFonts w:hint="eastAsia"/>
          <w:highlight w:val="none"/>
        </w:rPr>
        <w:t>数据</w:t>
      </w:r>
      <w:r>
        <w:rPr>
          <w:rFonts w:hint="eastAsia"/>
          <w:highlight w:val="none"/>
          <w:lang w:val="en-US" w:eastAsia="zh-CN"/>
        </w:rPr>
        <w:t>基础</w:t>
      </w:r>
      <w:r>
        <w:rPr>
          <w:rFonts w:hint="eastAsia"/>
          <w:highlight w:val="none"/>
        </w:rPr>
        <w:t>平台，实现数字乡村相关数据的汇聚和治理，支撑数字乡村相关应用</w:t>
      </w:r>
      <w:r>
        <w:rPr>
          <w:rFonts w:hint="eastAsia" w:ascii="Times New Roman"/>
          <w:color w:val="000000"/>
          <w:highlight w:val="none"/>
          <w:lang w:bidi="ar"/>
        </w:rPr>
        <w:t>。</w:t>
      </w:r>
    </w:p>
    <w:p>
      <w:pPr>
        <w:pStyle w:val="42"/>
        <w:rPr>
          <w:highlight w:val="none"/>
        </w:rPr>
      </w:pPr>
      <w:bookmarkStart w:id="38" w:name="_Toc20391"/>
      <w:bookmarkEnd w:id="38"/>
      <w:bookmarkStart w:id="39" w:name="_Toc32661"/>
      <w:bookmarkEnd w:id="39"/>
      <w:bookmarkStart w:id="40" w:name="_Toc23534"/>
      <w:bookmarkStart w:id="41" w:name="_Toc32061"/>
      <w:bookmarkStart w:id="42" w:name="_Toc27670"/>
      <w:bookmarkStart w:id="43" w:name="_Toc15999"/>
      <w:r>
        <w:rPr>
          <w:highlight w:val="none"/>
        </w:rPr>
        <w:t xml:space="preserve"> </w:t>
      </w:r>
      <w:bookmarkStart w:id="44" w:name="_Toc8660"/>
      <w:bookmarkStart w:id="45" w:name="_Toc24191"/>
      <w:bookmarkStart w:id="46" w:name="_Toc17329"/>
      <w:r>
        <w:rPr>
          <w:rFonts w:hint="eastAsia"/>
          <w:highlight w:val="none"/>
        </w:rPr>
        <w:t>数字</w:t>
      </w:r>
      <w:bookmarkEnd w:id="44"/>
      <w:bookmarkEnd w:id="45"/>
      <w:bookmarkEnd w:id="46"/>
      <w:r>
        <w:rPr>
          <w:rFonts w:hint="eastAsia"/>
          <w:highlight w:val="none"/>
          <w:lang w:val="en-US" w:eastAsia="zh-CN"/>
        </w:rPr>
        <w:t>农业</w:t>
      </w:r>
    </w:p>
    <w:p>
      <w:pPr>
        <w:pStyle w:val="39"/>
        <w:rPr>
          <w:highlight w:val="none"/>
        </w:rPr>
      </w:pPr>
      <w:bookmarkStart w:id="47" w:name="_Toc29216"/>
      <w:r>
        <w:rPr>
          <w:rFonts w:hint="eastAsia"/>
          <w:highlight w:val="none"/>
          <w:lang w:val="en-US" w:eastAsia="zh-CN"/>
        </w:rPr>
        <w:t>农业生产</w:t>
      </w:r>
    </w:p>
    <w:p>
      <w:pPr>
        <w:pStyle w:val="60"/>
        <w:numPr>
          <w:ilvl w:val="2"/>
          <w:numId w:val="0"/>
        </w:numPr>
        <w:ind w:leftChars="0"/>
        <w:rPr>
          <w:rFonts w:hint="eastAsia"/>
        </w:rPr>
      </w:pPr>
      <w:r>
        <w:rPr>
          <w:rFonts w:hint="eastAsia"/>
          <w:highlight w:val="none"/>
          <w:lang w:val="en-US" w:eastAsia="zh-CN"/>
        </w:rPr>
        <w:t>运用信息技术梳理和采集种质资源数据。应配置、整合各类农业园区、基地中的物联网数据采集设施。</w:t>
      </w:r>
      <w:r>
        <w:rPr>
          <w:rFonts w:hint="eastAsia"/>
        </w:rPr>
        <w:t>配备标准化、智能化病虫害监测设备等。农业生产经营主体可通过手机</w:t>
      </w:r>
      <w:r>
        <w:rPr>
          <w:rFonts w:hint="eastAsia"/>
          <w:lang w:val="en-US" w:eastAsia="zh-CN"/>
        </w:rPr>
        <w:t>APP</w:t>
      </w:r>
      <w:r>
        <w:rPr>
          <w:rFonts w:hint="eastAsia"/>
        </w:rPr>
        <w:t>和小程序等，在线监测作物生长信息。</w:t>
      </w:r>
    </w:p>
    <w:p>
      <w:pPr>
        <w:pStyle w:val="39"/>
        <w:rPr>
          <w:rFonts w:hint="eastAsia"/>
          <w:highlight w:val="none"/>
          <w:lang w:val="en-US" w:eastAsia="zh-CN"/>
        </w:rPr>
      </w:pPr>
      <w:r>
        <w:rPr>
          <w:rFonts w:hint="eastAsia"/>
          <w:highlight w:val="none"/>
          <w:lang w:val="en-US" w:eastAsia="zh-CN"/>
        </w:rPr>
        <w:t>农产品加工</w:t>
      </w:r>
    </w:p>
    <w:p>
      <w:pPr>
        <w:pStyle w:val="60"/>
        <w:numPr>
          <w:ilvl w:val="2"/>
          <w:numId w:val="0"/>
        </w:numPr>
        <w:ind w:leftChars="0"/>
        <w:rPr>
          <w:rFonts w:hint="eastAsia"/>
        </w:rPr>
      </w:pPr>
      <w:r>
        <w:rPr>
          <w:rFonts w:hint="eastAsia"/>
          <w:lang w:eastAsia="zh-CN"/>
        </w:rPr>
        <w:t>围绕</w:t>
      </w:r>
      <w:r>
        <w:rPr>
          <w:rFonts w:hint="eastAsia"/>
        </w:rPr>
        <w:t>食用类初级农产品，</w:t>
      </w:r>
      <w:r>
        <w:rPr>
          <w:rFonts w:hint="eastAsia"/>
          <w:lang w:eastAsia="zh-CN"/>
        </w:rPr>
        <w:t>进行数字化升级改造</w:t>
      </w:r>
      <w:r>
        <w:rPr>
          <w:rFonts w:hint="eastAsia"/>
        </w:rPr>
        <w:t>，提高农产品附加价值。</w:t>
      </w:r>
      <w:r>
        <w:rPr>
          <w:rFonts w:hint="eastAsia"/>
          <w:lang w:eastAsia="zh-CN"/>
        </w:rPr>
        <w:t>围绕优势农产品打造集聚区</w:t>
      </w:r>
      <w:r>
        <w:rPr>
          <w:rFonts w:hint="eastAsia"/>
        </w:rPr>
        <w:t>。</w:t>
      </w:r>
    </w:p>
    <w:p>
      <w:pPr>
        <w:pStyle w:val="39"/>
        <w:rPr>
          <w:rFonts w:hint="default"/>
          <w:highlight w:val="none"/>
          <w:lang w:val="en-US" w:eastAsia="zh-CN"/>
        </w:rPr>
      </w:pPr>
      <w:r>
        <w:rPr>
          <w:rFonts w:hint="eastAsia" w:ascii="黑体" w:hAnsi="Times New Roman" w:eastAsia="黑体" w:cs="Times New Roman"/>
          <w:sz w:val="21"/>
          <w:szCs w:val="21"/>
          <w:highlight w:val="none"/>
          <w:lang w:val="en-US" w:eastAsia="zh-CN" w:bidi="ar-SA"/>
        </w:rPr>
        <w:t>农产品流通</w:t>
      </w:r>
    </w:p>
    <w:p>
      <w:pPr>
        <w:pStyle w:val="60"/>
        <w:numPr>
          <w:ilvl w:val="2"/>
          <w:numId w:val="0"/>
        </w:numPr>
        <w:ind w:leftChars="0"/>
        <w:rPr>
          <w:rFonts w:hint="eastAsia"/>
        </w:rPr>
      </w:pPr>
      <w:r>
        <w:rPr>
          <w:rFonts w:hint="default"/>
          <w:highlight w:val="none"/>
          <w:lang w:val="en-US" w:eastAsia="zh-CN"/>
        </w:rPr>
        <w:t>运用信息化方式，跟踪记录生产经营主体、生产过程和农产品流向等农产品质量安全信息</w:t>
      </w:r>
      <w:r>
        <w:rPr>
          <w:rFonts w:hint="eastAsia"/>
        </w:rPr>
        <w:t>。</w:t>
      </w:r>
    </w:p>
    <w:p>
      <w:pPr>
        <w:pStyle w:val="39"/>
        <w:rPr>
          <w:highlight w:val="none"/>
        </w:rPr>
      </w:pPr>
      <w:r>
        <w:rPr>
          <w:rFonts w:hint="eastAsia"/>
          <w:highlight w:val="none"/>
          <w:lang w:val="en-US" w:eastAsia="zh-CN"/>
        </w:rPr>
        <w:t>农业信息化服务</w:t>
      </w:r>
      <w:bookmarkEnd w:id="47"/>
    </w:p>
    <w:p>
      <w:pPr>
        <w:pStyle w:val="60"/>
        <w:numPr>
          <w:ilvl w:val="2"/>
          <w:numId w:val="0"/>
        </w:numPr>
        <w:ind w:leftChars="0"/>
        <w:rPr>
          <w:rFonts w:hint="eastAsia" w:ascii="宋体" w:hAnsi="Times New Roman" w:eastAsia="宋体" w:cs="Times New Roman"/>
          <w:sz w:val="21"/>
          <w:szCs w:val="21"/>
          <w:highlight w:val="none"/>
          <w:lang w:val="en-US" w:eastAsia="zh-CN" w:bidi="ar-SA"/>
        </w:rPr>
      </w:pPr>
      <w:r>
        <w:rPr>
          <w:rFonts w:hint="eastAsia"/>
          <w:highlight w:val="none"/>
          <w:lang w:val="en-US" w:eastAsia="zh-CN"/>
        </w:rPr>
        <w:t>通过信息平台、APP和小程序等，为农业生产经营主体提供</w:t>
      </w:r>
      <w:r>
        <w:rPr>
          <w:rFonts w:hint="eastAsia"/>
          <w:highlight w:val="none"/>
        </w:rPr>
        <w:t>生产经营</w:t>
      </w:r>
      <w:r>
        <w:rPr>
          <w:rFonts w:hint="eastAsia"/>
          <w:highlight w:val="none"/>
          <w:lang w:eastAsia="zh-CN"/>
        </w:rPr>
        <w:t>、</w:t>
      </w:r>
      <w:r>
        <w:rPr>
          <w:rFonts w:hint="eastAsia"/>
          <w:highlight w:val="none"/>
        </w:rPr>
        <w:t>销售流通</w:t>
      </w:r>
      <w:r>
        <w:rPr>
          <w:rFonts w:hint="eastAsia"/>
          <w:highlight w:val="none"/>
          <w:lang w:val="en-US" w:eastAsia="zh-CN"/>
        </w:rPr>
        <w:t>等</w:t>
      </w:r>
      <w:r>
        <w:rPr>
          <w:rFonts w:hint="eastAsia"/>
          <w:highlight w:val="none"/>
        </w:rPr>
        <w:t>信息服务</w:t>
      </w:r>
      <w:r>
        <w:rPr>
          <w:rFonts w:hint="eastAsia"/>
          <w:highlight w:val="none"/>
          <w:lang w:eastAsia="zh-CN"/>
        </w:rPr>
        <w:t>。</w:t>
      </w:r>
      <w:r>
        <w:rPr>
          <w:rFonts w:hint="eastAsia" w:ascii="宋体" w:hAnsi="Times New Roman" w:eastAsia="宋体" w:cs="Times New Roman"/>
          <w:sz w:val="21"/>
          <w:szCs w:val="21"/>
          <w:highlight w:val="none"/>
          <w:lang w:val="en-US" w:eastAsia="zh-CN" w:bidi="ar-SA"/>
        </w:rPr>
        <w:t>应加强农产品认证帮扶和品牌建设</w:t>
      </w:r>
      <w:r>
        <w:rPr>
          <w:rFonts w:hint="eastAsia" w:cs="Times New Roman"/>
          <w:sz w:val="21"/>
          <w:szCs w:val="21"/>
          <w:highlight w:val="none"/>
          <w:lang w:val="en-US" w:eastAsia="zh-CN" w:bidi="ar-SA"/>
        </w:rPr>
        <w:t>。加强农业科技信息服务。</w:t>
      </w:r>
    </w:p>
    <w:p>
      <w:pPr>
        <w:pStyle w:val="42"/>
        <w:rPr>
          <w:rFonts w:hint="eastAsia"/>
        </w:rPr>
      </w:pPr>
      <w:r>
        <w:rPr>
          <w:rFonts w:hint="eastAsia"/>
          <w:lang w:eastAsia="zh-CN"/>
        </w:rPr>
        <w:t>电子商务</w:t>
      </w:r>
    </w:p>
    <w:p>
      <w:pPr>
        <w:pStyle w:val="39"/>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Chars="0"/>
        <w:textAlignment w:val="auto"/>
        <w:rPr>
          <w:rFonts w:hint="eastAsia" w:ascii="宋体" w:hAnsi="Times New Roman" w:eastAsia="宋体" w:cs="Times New Roman"/>
          <w:sz w:val="21"/>
          <w:szCs w:val="21"/>
          <w:highlight w:val="none"/>
          <w:lang w:val="en-US" w:eastAsia="zh-CN" w:bidi="ar-SA"/>
        </w:rPr>
      </w:pPr>
      <w:bookmarkStart w:id="48" w:name="_Toc31407"/>
      <w:r>
        <w:rPr>
          <w:rFonts w:hint="eastAsia" w:ascii="宋体" w:hAnsi="Times New Roman" w:eastAsia="宋体" w:cs="Times New Roman"/>
          <w:sz w:val="21"/>
          <w:szCs w:val="21"/>
          <w:highlight w:val="none"/>
          <w:lang w:val="en-US" w:eastAsia="zh-CN" w:bidi="ar-SA"/>
        </w:rPr>
        <w:t>应拓宽农产品、农创产品线上销售渠道，</w:t>
      </w:r>
      <w:r>
        <w:rPr>
          <w:rFonts w:hint="eastAsia" w:ascii="宋体" w:eastAsia="宋体" w:cs="Times New Roman"/>
          <w:sz w:val="21"/>
          <w:szCs w:val="21"/>
          <w:highlight w:val="none"/>
          <w:lang w:val="en-US" w:eastAsia="zh-CN" w:bidi="ar-SA"/>
        </w:rPr>
        <w:t>推进</w:t>
      </w:r>
      <w:r>
        <w:rPr>
          <w:rFonts w:hint="eastAsia" w:ascii="宋体" w:hAnsi="Times New Roman" w:eastAsia="宋体" w:cs="Times New Roman"/>
          <w:sz w:val="21"/>
          <w:szCs w:val="21"/>
          <w:highlight w:val="none"/>
          <w:lang w:val="en-US" w:eastAsia="zh-CN" w:bidi="ar-SA"/>
        </w:rPr>
        <w:t>县</w:t>
      </w:r>
      <w:r>
        <w:rPr>
          <w:rFonts w:hint="eastAsia" w:ascii="宋体" w:eastAsia="宋体" w:cs="Times New Roman"/>
          <w:sz w:val="21"/>
          <w:szCs w:val="21"/>
          <w:highlight w:val="none"/>
          <w:lang w:val="en-US" w:eastAsia="zh-CN" w:bidi="ar-SA"/>
        </w:rPr>
        <w:t>、</w:t>
      </w:r>
      <w:r>
        <w:rPr>
          <w:rFonts w:hint="eastAsia" w:ascii="宋体" w:hAnsi="Times New Roman" w:eastAsia="宋体" w:cs="Times New Roman"/>
          <w:sz w:val="21"/>
          <w:szCs w:val="21"/>
          <w:highlight w:val="none"/>
          <w:lang w:val="en-US" w:eastAsia="zh-CN" w:bidi="ar-SA"/>
        </w:rPr>
        <w:t>乡</w:t>
      </w:r>
      <w:r>
        <w:rPr>
          <w:rFonts w:hint="eastAsia" w:ascii="宋体" w:eastAsia="宋体" w:cs="Times New Roman"/>
          <w:sz w:val="21"/>
          <w:szCs w:val="21"/>
          <w:highlight w:val="none"/>
          <w:lang w:val="en-US" w:eastAsia="zh-CN" w:bidi="ar-SA"/>
        </w:rPr>
        <w:t>、</w:t>
      </w:r>
      <w:r>
        <w:rPr>
          <w:rFonts w:hint="eastAsia" w:ascii="宋体" w:hAnsi="Times New Roman" w:eastAsia="宋体" w:cs="Times New Roman"/>
          <w:sz w:val="21"/>
          <w:szCs w:val="21"/>
          <w:highlight w:val="none"/>
          <w:lang w:val="en-US" w:eastAsia="zh-CN" w:bidi="ar-SA"/>
        </w:rPr>
        <w:t>村三级快递物流配送体系</w:t>
      </w:r>
      <w:r>
        <w:rPr>
          <w:rFonts w:hint="eastAsia" w:ascii="宋体" w:eastAsia="宋体" w:cs="Times New Roman"/>
          <w:sz w:val="21"/>
          <w:szCs w:val="21"/>
          <w:highlight w:val="none"/>
          <w:lang w:val="en-US" w:eastAsia="zh-CN" w:bidi="ar-SA"/>
        </w:rPr>
        <w:t>完善。</w:t>
      </w:r>
    </w:p>
    <w:p>
      <w:pPr>
        <w:pStyle w:val="42"/>
        <w:rPr>
          <w:rFonts w:hint="eastAsia"/>
          <w:lang w:eastAsia="zh-CN"/>
        </w:rPr>
      </w:pPr>
      <w:r>
        <w:rPr>
          <w:rFonts w:hint="eastAsia"/>
          <w:lang w:val="en-US" w:eastAsia="zh-CN"/>
        </w:rPr>
        <w:t xml:space="preserve">智慧旅游 </w:t>
      </w:r>
      <w:r>
        <w:rPr>
          <w:rFonts w:hint="eastAsia"/>
          <w:lang w:eastAsia="zh-CN"/>
        </w:rPr>
        <w:t xml:space="preserve"> </w:t>
      </w:r>
      <w:bookmarkEnd w:id="48"/>
    </w:p>
    <w:p>
      <w:pPr>
        <w:pStyle w:val="39"/>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Chars="0"/>
        <w:textAlignment w:val="auto"/>
        <w:rPr>
          <w:rFonts w:hint="eastAsia"/>
        </w:rPr>
      </w:pPr>
      <w:bookmarkStart w:id="49" w:name="_Toc5474"/>
      <w:r>
        <w:rPr>
          <w:rFonts w:hint="eastAsia" w:ascii="宋体" w:hAnsi="Times New Roman" w:eastAsia="宋体" w:cs="Times New Roman"/>
          <w:sz w:val="21"/>
          <w:szCs w:val="21"/>
          <w:highlight w:val="none"/>
          <w:lang w:val="en-US" w:eastAsia="zh-CN" w:bidi="ar-SA"/>
        </w:rPr>
        <w:t>打造特色旅游路线和产品。加强数字技术与文旅产品、场景、时空的深度融合，打造虚拟现实博物馆、沉浸式演出等旅游体验</w:t>
      </w:r>
      <w:r>
        <w:rPr>
          <w:rFonts w:hint="eastAsia"/>
          <w:lang w:eastAsia="zh-CN"/>
        </w:rPr>
        <w:t>。</w:t>
      </w:r>
    </w:p>
    <w:p>
      <w:pPr>
        <w:pStyle w:val="42"/>
        <w:rPr>
          <w:rFonts w:hint="eastAsia"/>
          <w:lang w:val="en-US" w:eastAsia="zh-CN"/>
        </w:rPr>
      </w:pPr>
      <w:r>
        <w:rPr>
          <w:rFonts w:hint="eastAsia"/>
          <w:lang w:val="en-US" w:eastAsia="zh-CN"/>
        </w:rPr>
        <w:t>数字金融</w:t>
      </w:r>
      <w:bookmarkEnd w:id="49"/>
    </w:p>
    <w:p>
      <w:pPr>
        <w:pStyle w:val="39"/>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leftChars="0"/>
        <w:textAlignment w:val="auto"/>
        <w:rPr>
          <w:rFonts w:hint="eastAsia" w:ascii="宋体" w:hAnsi="Times New Roman" w:eastAsia="宋体" w:cs="Times New Roman"/>
          <w:sz w:val="21"/>
          <w:szCs w:val="21"/>
          <w:highlight w:val="none"/>
          <w:lang w:val="en-US" w:eastAsia="zh-CN" w:bidi="ar-SA"/>
        </w:rPr>
      </w:pPr>
      <w:r>
        <w:rPr>
          <w:rFonts w:hint="eastAsia" w:ascii="宋体" w:hAnsi="Times New Roman" w:eastAsia="宋体" w:cs="Times New Roman"/>
          <w:sz w:val="21"/>
          <w:szCs w:val="21"/>
          <w:highlight w:val="none"/>
          <w:lang w:val="en-US" w:eastAsia="zh-CN" w:bidi="ar-SA"/>
        </w:rPr>
        <w:t>应建设便民金融服务中心</w:t>
      </w:r>
      <w:r>
        <w:rPr>
          <w:rFonts w:hint="eastAsia" w:ascii="宋体" w:eastAsia="宋体" w:cs="Times New Roman"/>
          <w:sz w:val="21"/>
          <w:szCs w:val="21"/>
          <w:highlight w:val="none"/>
          <w:lang w:val="en-US" w:eastAsia="zh-CN" w:bidi="ar-SA"/>
        </w:rPr>
        <w:t>。</w:t>
      </w:r>
      <w:r>
        <w:rPr>
          <w:rFonts w:hint="eastAsia" w:ascii="宋体" w:hAnsi="Times New Roman" w:eastAsia="宋体" w:cs="Times New Roman"/>
          <w:sz w:val="21"/>
          <w:szCs w:val="21"/>
          <w:highlight w:val="none"/>
          <w:lang w:val="en-US" w:eastAsia="zh-CN" w:bidi="ar-SA"/>
        </w:rPr>
        <w:t>应推广农业防灾减损保险服务。</w:t>
      </w:r>
    </w:p>
    <w:p>
      <w:pPr>
        <w:pStyle w:val="42"/>
        <w:rPr>
          <w:rFonts w:hint="eastAsia"/>
        </w:rPr>
      </w:pPr>
      <w:r>
        <w:rPr>
          <w:rFonts w:hint="eastAsia"/>
        </w:rPr>
        <w:t>公共服务</w:t>
      </w:r>
      <w:bookmarkEnd w:id="40"/>
      <w:bookmarkEnd w:id="41"/>
      <w:bookmarkEnd w:id="42"/>
    </w:p>
    <w:p>
      <w:pPr>
        <w:pStyle w:val="39"/>
        <w:rPr>
          <w:rFonts w:hint="eastAsia" w:ascii="仿宋_GB2312" w:hAnsi="仿宋_GB2312" w:eastAsia="仿宋_GB2312" w:cs="仿宋_GB2312"/>
          <w:sz w:val="30"/>
          <w:szCs w:val="30"/>
        </w:rPr>
      </w:pPr>
      <w:bookmarkStart w:id="50" w:name="_Toc26558"/>
      <w:r>
        <w:rPr>
          <w:rFonts w:hint="eastAsia"/>
        </w:rPr>
        <w:t>数字教育</w:t>
      </w:r>
      <w:bookmarkEnd w:id="50"/>
      <w:r>
        <w:rPr>
          <w:rFonts w:hint="eastAsia" w:ascii="仿宋_GB2312" w:hAnsi="仿宋_GB2312" w:eastAsia="仿宋_GB2312" w:cs="仿宋_GB2312"/>
          <w:sz w:val="30"/>
          <w:szCs w:val="30"/>
        </w:rPr>
        <w:t xml:space="preserve"> </w:t>
      </w:r>
    </w:p>
    <w:p>
      <w:pPr>
        <w:pStyle w:val="39"/>
        <w:rPr>
          <w:rFonts w:hint="eastAsia"/>
        </w:rPr>
      </w:pPr>
      <w:bookmarkStart w:id="51" w:name="_Toc22768"/>
      <w:r>
        <w:rPr>
          <w:rFonts w:hint="eastAsia"/>
        </w:rPr>
        <w:t>数字医疗</w:t>
      </w:r>
      <w:bookmarkEnd w:id="51"/>
    </w:p>
    <w:p>
      <w:pPr>
        <w:pStyle w:val="39"/>
        <w:rPr>
          <w:rFonts w:hint="eastAsia"/>
        </w:rPr>
      </w:pPr>
      <w:bookmarkStart w:id="52" w:name="_Toc28300"/>
      <w:r>
        <w:rPr>
          <w:rFonts w:hint="eastAsia"/>
        </w:rPr>
        <w:t>数字养老</w:t>
      </w:r>
      <w:bookmarkEnd w:id="52"/>
    </w:p>
    <w:p>
      <w:pPr>
        <w:pStyle w:val="39"/>
        <w:rPr>
          <w:rFonts w:hint="eastAsia"/>
          <w:highlight w:val="none"/>
        </w:rPr>
      </w:pPr>
      <w:bookmarkStart w:id="53" w:name="_Toc25264"/>
      <w:r>
        <w:rPr>
          <w:rFonts w:hint="eastAsia"/>
          <w:highlight w:val="none"/>
        </w:rPr>
        <w:t>数字素养</w:t>
      </w:r>
      <w:bookmarkEnd w:id="53"/>
    </w:p>
    <w:p>
      <w:pPr>
        <w:pStyle w:val="42"/>
        <w:rPr>
          <w:rFonts w:hint="eastAsia"/>
          <w:highlight w:val="none"/>
        </w:rPr>
      </w:pPr>
      <w:bookmarkStart w:id="54" w:name="_Toc29006"/>
      <w:bookmarkStart w:id="55" w:name="_Toc6332"/>
      <w:bookmarkStart w:id="56" w:name="_Toc14891"/>
      <w:r>
        <w:rPr>
          <w:rFonts w:hint="eastAsia"/>
          <w:highlight w:val="none"/>
          <w:lang w:val="en-US" w:eastAsia="zh-CN"/>
        </w:rPr>
        <w:t>网络</w:t>
      </w:r>
      <w:r>
        <w:rPr>
          <w:rFonts w:hint="eastAsia"/>
          <w:highlight w:val="none"/>
        </w:rPr>
        <w:t>文化</w:t>
      </w:r>
      <w:bookmarkEnd w:id="54"/>
      <w:bookmarkEnd w:id="55"/>
      <w:bookmarkEnd w:id="56"/>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eastAsia="宋体"/>
        </w:rPr>
      </w:pPr>
      <w:bookmarkStart w:id="57" w:name="_Toc12923"/>
      <w:r>
        <w:rPr>
          <w:rFonts w:hint="eastAsia" w:ascii="宋体" w:eastAsia="宋体"/>
          <w:lang w:eastAsia="zh-CN"/>
        </w:rPr>
        <w:t>通过</w:t>
      </w:r>
      <w:r>
        <w:rPr>
          <w:rFonts w:hint="eastAsia" w:ascii="宋体" w:eastAsia="宋体"/>
        </w:rPr>
        <w:t>县级融媒体强化乡村网络文明建设，宣传</w:t>
      </w:r>
      <w:r>
        <w:rPr>
          <w:rFonts w:hint="eastAsia" w:ascii="宋体" w:eastAsia="宋体"/>
          <w:lang w:eastAsia="zh-CN"/>
        </w:rPr>
        <w:t>和</w:t>
      </w:r>
      <w:r>
        <w:rPr>
          <w:rFonts w:hint="eastAsia" w:ascii="宋体" w:eastAsia="宋体"/>
        </w:rPr>
        <w:t>弘扬社会主义核心价值观</w:t>
      </w:r>
      <w:r>
        <w:rPr>
          <w:rFonts w:hint="eastAsia" w:ascii="宋体" w:eastAsia="宋体"/>
          <w:lang w:eastAsia="zh-CN"/>
        </w:rPr>
        <w:t>、</w:t>
      </w:r>
      <w:r>
        <w:rPr>
          <w:rFonts w:hint="eastAsia" w:ascii="宋体" w:eastAsia="宋体"/>
        </w:rPr>
        <w:t>中华优秀传统文化</w:t>
      </w:r>
      <w:r>
        <w:rPr>
          <w:rFonts w:hint="eastAsia" w:ascii="宋体" w:eastAsia="宋体"/>
          <w:lang w:eastAsia="zh-CN"/>
        </w:rPr>
        <w:t>、法律法规和政策等</w:t>
      </w:r>
      <w:r>
        <w:rPr>
          <w:rFonts w:hint="eastAsia" w:ascii="宋体" w:eastAsia="宋体"/>
        </w:rPr>
        <w:t>。</w:t>
      </w:r>
      <w:bookmarkEnd w:id="57"/>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eastAsia="宋体"/>
        </w:rPr>
      </w:pPr>
      <w:bookmarkStart w:id="58" w:name="_Toc28357"/>
      <w:r>
        <w:rPr>
          <w:rFonts w:hint="eastAsia" w:ascii="宋体" w:eastAsia="宋体"/>
        </w:rPr>
        <w:t>加强网络实时巡查监督</w:t>
      </w:r>
      <w:r>
        <w:rPr>
          <w:rFonts w:hint="eastAsia" w:ascii="宋体"/>
          <w:lang w:val="en-US" w:eastAsia="zh-CN"/>
        </w:rPr>
        <w:t>。</w:t>
      </w:r>
    </w:p>
    <w:bookmarkEnd w:id="58"/>
    <w:p>
      <w:pPr>
        <w:pStyle w:val="42"/>
      </w:pPr>
      <w:bookmarkStart w:id="59" w:name="_Toc8871"/>
      <w:bookmarkStart w:id="60" w:name="_Toc21720"/>
      <w:bookmarkStart w:id="61" w:name="_Toc5140"/>
      <w:r>
        <w:rPr>
          <w:rFonts w:hint="eastAsia"/>
        </w:rPr>
        <w:t>数字治理</w:t>
      </w:r>
      <w:bookmarkEnd w:id="59"/>
      <w:bookmarkEnd w:id="60"/>
      <w:bookmarkEnd w:id="61"/>
    </w:p>
    <w:p>
      <w:pPr>
        <w:pStyle w:val="39"/>
        <w:rPr>
          <w:rFonts w:hint="eastAsia"/>
        </w:rPr>
      </w:pPr>
      <w:bookmarkStart w:id="62" w:name="_Toc2157"/>
      <w:r>
        <w:rPr>
          <w:rFonts w:hint="eastAsia"/>
        </w:rPr>
        <w:t>智慧党建</w:t>
      </w:r>
      <w:bookmarkEnd w:id="62"/>
    </w:p>
    <w:p>
      <w:pPr>
        <w:pStyle w:val="39"/>
        <w:rPr>
          <w:rFonts w:hint="eastAsia"/>
        </w:rPr>
      </w:pPr>
      <w:bookmarkStart w:id="63" w:name="_Toc17418"/>
      <w:r>
        <w:rPr>
          <w:rFonts w:hint="eastAsia"/>
        </w:rPr>
        <w:t>数字政务</w:t>
      </w:r>
      <w:bookmarkEnd w:id="63"/>
    </w:p>
    <w:p>
      <w:pPr>
        <w:pStyle w:val="39"/>
        <w:rPr>
          <w:rFonts w:hint="eastAsia"/>
        </w:rPr>
      </w:pPr>
      <w:bookmarkStart w:id="64" w:name="_Toc14034"/>
      <w:r>
        <w:rPr>
          <w:rFonts w:hint="eastAsia"/>
        </w:rPr>
        <w:t>数字村务</w:t>
      </w:r>
      <w:bookmarkEnd w:id="64"/>
    </w:p>
    <w:p>
      <w:pPr>
        <w:pStyle w:val="39"/>
        <w:rPr>
          <w:rFonts w:hint="eastAsia"/>
        </w:rPr>
      </w:pPr>
      <w:bookmarkStart w:id="65" w:name="_Toc26703"/>
      <w:r>
        <w:rPr>
          <w:rFonts w:hint="eastAsia"/>
        </w:rPr>
        <w:t>社会综合治理</w:t>
      </w:r>
      <w:bookmarkEnd w:id="65"/>
    </w:p>
    <w:p>
      <w:pPr>
        <w:pStyle w:val="42"/>
        <w:rPr>
          <w:rFonts w:hint="eastAsia"/>
          <w:highlight w:val="none"/>
        </w:rPr>
      </w:pPr>
      <w:bookmarkStart w:id="66" w:name="_Toc6577"/>
      <w:bookmarkStart w:id="67" w:name="_Toc17766"/>
      <w:bookmarkStart w:id="68" w:name="_Toc1615"/>
      <w:r>
        <w:rPr>
          <w:rFonts w:hint="eastAsia"/>
          <w:highlight w:val="none"/>
        </w:rPr>
        <w:t>绿色乡村</w:t>
      </w:r>
      <w:bookmarkEnd w:id="66"/>
      <w:bookmarkEnd w:id="67"/>
      <w:bookmarkEnd w:id="68"/>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eastAsia="宋体"/>
        </w:rPr>
      </w:pPr>
      <w:bookmarkStart w:id="69" w:name="_Toc25883"/>
      <w:r>
        <w:rPr>
          <w:rFonts w:hint="eastAsia" w:ascii="宋体" w:eastAsia="宋体"/>
        </w:rPr>
        <w:t>建立农村饮用水水源、</w:t>
      </w:r>
      <w:r>
        <w:rPr>
          <w:rFonts w:hint="eastAsia" w:ascii="宋体" w:eastAsia="宋体"/>
          <w:lang w:eastAsia="zh-CN"/>
        </w:rPr>
        <w:t>空气质量、</w:t>
      </w:r>
      <w:r>
        <w:rPr>
          <w:rFonts w:hint="eastAsia" w:ascii="宋体" w:eastAsia="宋体"/>
        </w:rPr>
        <w:t>垃圾分类、生活污水、养殖污水等监测网络。</w:t>
      </w:r>
      <w:bookmarkEnd w:id="69"/>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eastAsia="宋体"/>
        </w:rPr>
      </w:pPr>
      <w:bookmarkStart w:id="70" w:name="_Toc28095"/>
      <w:r>
        <w:rPr>
          <w:rFonts w:hint="eastAsia" w:ascii="宋体" w:eastAsia="宋体"/>
          <w:highlight w:val="none"/>
        </w:rPr>
        <w:t>建立</w:t>
      </w:r>
      <w:r>
        <w:rPr>
          <w:rFonts w:hint="eastAsia" w:ascii="宋体" w:eastAsia="宋体"/>
          <w:highlight w:val="none"/>
          <w:lang w:val="en-US" w:eastAsia="zh-CN"/>
        </w:rPr>
        <w:t>农村地区</w:t>
      </w:r>
      <w:r>
        <w:rPr>
          <w:rFonts w:hint="eastAsia" w:ascii="宋体" w:eastAsia="宋体"/>
          <w:highlight w:val="none"/>
        </w:rPr>
        <w:t>水</w:t>
      </w:r>
      <w:r>
        <w:rPr>
          <w:rFonts w:hint="eastAsia" w:ascii="宋体" w:eastAsia="宋体"/>
        </w:rPr>
        <w:t>利数据采集体系。</w:t>
      </w:r>
      <w:bookmarkEnd w:id="70"/>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eastAsia="宋体"/>
        </w:rPr>
      </w:pPr>
      <w:bookmarkStart w:id="71" w:name="_Toc13931"/>
      <w:r>
        <w:rPr>
          <w:rFonts w:hint="eastAsia" w:ascii="宋体" w:eastAsia="宋体"/>
        </w:rPr>
        <w:t>对感知设备、村民活动等共享数据的动态收集、精准分析、异动管理。</w:t>
      </w:r>
      <w:bookmarkEnd w:id="71"/>
    </w:p>
    <w:p>
      <w:pPr>
        <w:pStyle w:val="42"/>
        <w:rPr>
          <w:rFonts w:hint="eastAsia"/>
          <w:highlight w:val="none"/>
        </w:rPr>
      </w:pPr>
      <w:r>
        <w:rPr>
          <w:rFonts w:hint="eastAsia"/>
          <w:highlight w:val="none"/>
          <w:lang w:eastAsia="zh-CN"/>
        </w:rPr>
        <w:t>数字帮扶</w:t>
      </w:r>
    </w:p>
    <w:p>
      <w:pPr>
        <w:pStyle w:val="42"/>
        <w:rPr>
          <w:rFonts w:hint="eastAsia"/>
        </w:rPr>
      </w:pPr>
      <w:r>
        <w:rPr>
          <w:rFonts w:hint="eastAsia"/>
        </w:rPr>
        <w:t>运营管理</w:t>
      </w:r>
      <w:bookmarkEnd w:id="43"/>
    </w:p>
    <w:p>
      <w:pPr>
        <w:pStyle w:val="39"/>
        <w:rPr>
          <w:rFonts w:hint="eastAsia"/>
        </w:rPr>
      </w:pPr>
      <w:r>
        <w:rPr>
          <w:rFonts w:hint="eastAsia"/>
        </w:rPr>
        <w:t>组织保障</w:t>
      </w:r>
    </w:p>
    <w:p>
      <w:pPr>
        <w:pStyle w:val="39"/>
        <w:rPr>
          <w:rFonts w:hint="eastAsia"/>
        </w:rPr>
      </w:pPr>
      <w:r>
        <w:rPr>
          <w:rFonts w:hint="eastAsia"/>
        </w:rPr>
        <w:t>制度保障</w:t>
      </w:r>
    </w:p>
    <w:p>
      <w:pPr>
        <w:pStyle w:val="39"/>
        <w:rPr>
          <w:rFonts w:hint="eastAsia"/>
        </w:rPr>
      </w:pPr>
      <w:r>
        <w:rPr>
          <w:rFonts w:hint="eastAsia"/>
        </w:rPr>
        <w:t>人员保障</w:t>
      </w:r>
    </w:p>
    <w:p>
      <w:pPr>
        <w:pStyle w:val="42"/>
        <w:rPr>
          <w:rFonts w:hint="eastAsia"/>
        </w:rPr>
      </w:pPr>
      <w:bookmarkStart w:id="72" w:name="_Toc8208"/>
      <w:r>
        <w:rPr>
          <w:rFonts w:hint="eastAsia"/>
        </w:rPr>
        <w:t>安全保障</w:t>
      </w:r>
      <w:bookmarkEnd w:id="72"/>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ascii="宋体" w:eastAsia="宋体"/>
          <w:highlight w:val="none"/>
        </w:rPr>
        <w:t>建立网络安全教育培训机制</w:t>
      </w:r>
      <w:r>
        <w:rPr>
          <w:rFonts w:hint="eastAsia" w:ascii="宋体" w:eastAsia="宋体"/>
          <w:highlight w:val="none"/>
          <w:lang w:eastAsia="zh-CN"/>
        </w:rPr>
        <w:t>。</w:t>
      </w:r>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rPr>
      </w:pPr>
      <w:r>
        <w:rPr>
          <w:rFonts w:hint="eastAsia" w:ascii="宋体" w:hAnsi="Times New Roman" w:eastAsia="宋体" w:cs="Times New Roman"/>
          <w:highlight w:val="none"/>
        </w:rPr>
        <w:t>应保证数据采集的准确性、一致性和完整性。</w:t>
      </w:r>
    </w:p>
    <w:p>
      <w:pPr>
        <w:pStyle w:val="39"/>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r>
        <w:rPr>
          <w:rFonts w:hint="eastAsia" w:ascii="宋体" w:hAnsi="宋体" w:eastAsia="宋体" w:cs="宋体"/>
          <w:highlight w:val="none"/>
        </w:rPr>
        <w:t>加强数据安全管理。</w:t>
      </w:r>
    </w:p>
    <w:p>
      <w:pPr>
        <w:pStyle w:val="126"/>
        <w:rPr>
          <w:rFonts w:hint="eastAsia"/>
        </w:rPr>
      </w:pPr>
      <w:r>
        <w:t>_________________________________</w:t>
      </w:r>
    </w:p>
    <w:sectPr>
      <w:headerReference r:id="rId3" w:type="default"/>
      <w:footerReference r:id="rId4" w:type="default"/>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fldChar w:fldCharType="begin"/>
    </w:r>
    <w:r>
      <w:instrText xml:space="preserve"> PAGE  \* MERGEFORMAT </w:instrText>
    </w:r>
    <w:r>
      <w:fldChar w:fldCharType="separate"/>
    </w:r>
    <w:r>
      <w:t>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rPr>
        <w:rFonts w:hint="default" w:hAnsi="黑体"/>
      </w:rPr>
    </w:pPr>
    <w:r>
      <w:rPr>
        <w:rFonts w:hAnsi="黑体"/>
      </w:rPr>
      <w:t>T/</w:t>
    </w:r>
    <w:r>
      <w:rPr>
        <w:rFonts w:hint="eastAsia" w:hAnsi="黑体"/>
        <w:lang w:val="en-US" w:eastAsia="zh-Hans"/>
      </w:rPr>
      <w:t>GXIE</w:t>
    </w:r>
    <w:r>
      <w:rPr>
        <w:rFonts w:hAnsi="黑体"/>
      </w:rPr>
      <w:t xml:space="preserve"> </w:t>
    </w:r>
    <w:r>
      <w:rPr>
        <w:rFonts w:hint="default" w:hAnsi="黑体"/>
      </w:rPr>
      <w:t>001</w:t>
    </w:r>
    <w:r>
      <w:rPr>
        <w:rFonts w:hAnsi="黑体"/>
      </w:rPr>
      <w:t>—</w:t>
    </w:r>
    <w:r>
      <w:rPr>
        <w:rFonts w:hint="default" w:hAnsi="黑体"/>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9"/>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9"/>
      <w:suff w:val="nothing"/>
      <w:lvlText w:val="%1.%2　"/>
      <w:lvlJc w:val="left"/>
      <w:pPr>
        <w:ind w:left="0" w:firstLine="0"/>
      </w:pPr>
      <w:rPr>
        <w:rFonts w:hint="default"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43"/>
      <w:suff w:val="nothing"/>
      <w:lvlText w:val="%1.%2.%3　"/>
      <w:lvlJc w:val="left"/>
      <w:pPr>
        <w:ind w:left="567" w:firstLine="0"/>
      </w:pPr>
      <w:rPr>
        <w:rFonts w:hint="eastAsia" w:ascii="黑体" w:hAnsi="Times New Roman" w:eastAsia="黑体"/>
        <w:b w:val="0"/>
        <w:i w:val="0"/>
        <w:sz w:val="21"/>
      </w:rPr>
    </w:lvl>
    <w:lvl w:ilvl="3" w:tentative="0">
      <w:start w:val="1"/>
      <w:numFmt w:val="decimal"/>
      <w:pStyle w:val="48"/>
      <w:suff w:val="nothing"/>
      <w:lvlText w:val="%1.%2.%3.%4　"/>
      <w:lvlJc w:val="left"/>
      <w:pPr>
        <w:ind w:left="0" w:firstLine="0"/>
      </w:pPr>
      <w:rPr>
        <w:rFonts w:hint="eastAsia" w:ascii="黑体" w:hAnsi="Times New Roman" w:eastAsia="黑体"/>
        <w:b w:val="0"/>
        <w:i w:val="0"/>
        <w:sz w:val="21"/>
      </w:rPr>
    </w:lvl>
    <w:lvl w:ilvl="4" w:tentative="0">
      <w:start w:val="1"/>
      <w:numFmt w:val="decimal"/>
      <w:pStyle w:val="52"/>
      <w:suff w:val="nothing"/>
      <w:lvlText w:val="%1.%2.%3.%4.%5　"/>
      <w:lvlJc w:val="left"/>
      <w:pPr>
        <w:ind w:left="0" w:firstLine="0"/>
      </w:pPr>
      <w:rPr>
        <w:rFonts w:hint="eastAsia" w:ascii="黑体" w:hAnsi="Times New Roman" w:eastAsia="黑体"/>
        <w:b w:val="0"/>
        <w:i w:val="0"/>
        <w:sz w:val="21"/>
      </w:rPr>
    </w:lvl>
    <w:lvl w:ilvl="5" w:tentative="0">
      <w:start w:val="1"/>
      <w:numFmt w:val="decimal"/>
      <w:pStyle w:val="5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5"/>
      <w:suff w:val="space"/>
      <w:lvlText w:val="%1"/>
      <w:lvlJc w:val="left"/>
      <w:pPr>
        <w:ind w:left="623" w:hanging="425"/>
      </w:pPr>
      <w:rPr>
        <w:rFonts w:hint="eastAsia"/>
      </w:rPr>
    </w:lvl>
    <w:lvl w:ilvl="1" w:tentative="0">
      <w:start w:val="1"/>
      <w:numFmt w:val="decimal"/>
      <w:pStyle w:val="9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5"/>
      <w:suff w:val="nothing"/>
      <w:lvlText w:val="%1——"/>
      <w:lvlJc w:val="left"/>
      <w:pPr>
        <w:ind w:left="833" w:hanging="408"/>
      </w:pPr>
      <w:rPr>
        <w:rFonts w:hint="eastAsia"/>
      </w:rPr>
    </w:lvl>
    <w:lvl w:ilvl="1" w:tentative="0">
      <w:start w:val="1"/>
      <w:numFmt w:val="bullet"/>
      <w:pStyle w:val="46"/>
      <w:lvlText w:val=""/>
      <w:lvlJc w:val="left"/>
      <w:pPr>
        <w:tabs>
          <w:tab w:val="left" w:pos="760"/>
        </w:tabs>
        <w:ind w:left="1264" w:hanging="413"/>
      </w:pPr>
      <w:rPr>
        <w:rFonts w:hint="default" w:ascii="Symbol" w:hAnsi="Symbol"/>
        <w:color w:val="auto"/>
      </w:rPr>
    </w:lvl>
    <w:lvl w:ilvl="2" w:tentative="0">
      <w:start w:val="1"/>
      <w:numFmt w:val="bullet"/>
      <w:pStyle w:val="5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5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1"/>
      <w:lvlText w:val="%2)"/>
      <w:lvlJc w:val="left"/>
      <w:pPr>
        <w:tabs>
          <w:tab w:val="left" w:pos="1260"/>
        </w:tabs>
        <w:ind w:left="1259" w:hanging="419"/>
      </w:pPr>
      <w:rPr>
        <w:rFonts w:hint="eastAsia"/>
      </w:rPr>
    </w:lvl>
    <w:lvl w:ilvl="2" w:tentative="0">
      <w:start w:val="1"/>
      <w:numFmt w:val="decimal"/>
      <w:pStyle w:val="58"/>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59"/>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83"/>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12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8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0"/>
      <w:suff w:val="nothing"/>
      <w:lvlText w:val="%1.%2.%3　"/>
      <w:lvlJc w:val="left"/>
      <w:pPr>
        <w:ind w:left="0" w:firstLine="0"/>
      </w:pPr>
      <w:rPr>
        <w:rFonts w:hint="eastAsia" w:ascii="黑体" w:hAnsi="Times New Roman" w:eastAsia="黑体"/>
        <w:b w:val="0"/>
        <w:i w:val="0"/>
        <w:sz w:val="21"/>
      </w:rPr>
    </w:lvl>
    <w:lvl w:ilvl="3" w:tentative="0">
      <w:start w:val="1"/>
      <w:numFmt w:val="decimal"/>
      <w:pStyle w:val="85"/>
      <w:suff w:val="nothing"/>
      <w:lvlText w:val="%1.%2.%3.%4　"/>
      <w:lvlJc w:val="left"/>
      <w:pPr>
        <w:ind w:left="0"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93"/>
      <w:suff w:val="nothing"/>
      <w:lvlText w:val="%1.%2.%3.%4.%5.%6　"/>
      <w:lvlJc w:val="left"/>
      <w:pPr>
        <w:ind w:left="0" w:firstLine="0"/>
      </w:pPr>
      <w:rPr>
        <w:rFonts w:hint="eastAsia" w:ascii="黑体" w:hAnsi="Times New Roman" w:eastAsia="黑体"/>
        <w:b w:val="0"/>
        <w:i w:val="0"/>
        <w:sz w:val="21"/>
      </w:rPr>
    </w:lvl>
    <w:lvl w:ilvl="6" w:tentative="0">
      <w:start w:val="1"/>
      <w:numFmt w:val="decimal"/>
      <w:pStyle w:val="9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02"/>
      <w:lvlText w:val="%1)"/>
      <w:lvlJc w:val="left"/>
      <w:pPr>
        <w:tabs>
          <w:tab w:val="left" w:pos="839"/>
        </w:tabs>
        <w:ind w:left="839" w:hanging="419"/>
      </w:pPr>
      <w:rPr>
        <w:rFonts w:hint="eastAsia" w:ascii="宋体" w:eastAsia="宋体"/>
        <w:b w:val="0"/>
        <w:i w:val="0"/>
        <w:sz w:val="21"/>
      </w:rPr>
    </w:lvl>
    <w:lvl w:ilvl="1" w:tentative="0">
      <w:start w:val="1"/>
      <w:numFmt w:val="decimal"/>
      <w:pStyle w:val="9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tentative="0">
      <w:start w:val="1"/>
      <w:numFmt w:val="none"/>
      <w:pStyle w:val="5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7"/>
  </w:num>
  <w:num w:numId="4">
    <w:abstractNumId w:val="2"/>
  </w:num>
  <w:num w:numId="5">
    <w:abstractNumId w:val="9"/>
  </w:num>
  <w:num w:numId="6">
    <w:abstractNumId w:val="16"/>
  </w:num>
  <w:num w:numId="7">
    <w:abstractNumId w:val="0"/>
  </w:num>
  <w:num w:numId="8">
    <w:abstractNumId w:val="10"/>
  </w:num>
  <w:num w:numId="9">
    <w:abstractNumId w:val="4"/>
  </w:num>
  <w:num w:numId="10">
    <w:abstractNumId w:val="14"/>
  </w:num>
  <w:num w:numId="11">
    <w:abstractNumId w:val="12"/>
  </w:num>
  <w:num w:numId="12">
    <w:abstractNumId w:val="15"/>
  </w:num>
  <w:num w:numId="13">
    <w:abstractNumId w:val="6"/>
  </w:num>
  <w:num w:numId="14">
    <w:abstractNumId w:val="1"/>
  </w:num>
  <w:num w:numId="15">
    <w:abstractNumId w:val="3"/>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3MzZlY2NmM2E2Njg3OTQ3MTVkY2VkYjFjNjM5MmYifQ=="/>
  </w:docVars>
  <w:rsids>
    <w:rsidRoot w:val="00035925"/>
    <w:rsid w:val="00000244"/>
    <w:rsid w:val="0000185F"/>
    <w:rsid w:val="0000586F"/>
    <w:rsid w:val="00005D5C"/>
    <w:rsid w:val="00006499"/>
    <w:rsid w:val="00013D86"/>
    <w:rsid w:val="00013E02"/>
    <w:rsid w:val="0002143C"/>
    <w:rsid w:val="00025A65"/>
    <w:rsid w:val="00026C31"/>
    <w:rsid w:val="00027280"/>
    <w:rsid w:val="00031088"/>
    <w:rsid w:val="000320A7"/>
    <w:rsid w:val="00035925"/>
    <w:rsid w:val="0003768A"/>
    <w:rsid w:val="00055561"/>
    <w:rsid w:val="000573F2"/>
    <w:rsid w:val="00063175"/>
    <w:rsid w:val="00067CDF"/>
    <w:rsid w:val="00071533"/>
    <w:rsid w:val="000732D4"/>
    <w:rsid w:val="00073C60"/>
    <w:rsid w:val="00074FBE"/>
    <w:rsid w:val="00080774"/>
    <w:rsid w:val="00083A09"/>
    <w:rsid w:val="0009005E"/>
    <w:rsid w:val="00092675"/>
    <w:rsid w:val="000927BF"/>
    <w:rsid w:val="00092857"/>
    <w:rsid w:val="000A20A9"/>
    <w:rsid w:val="000A3784"/>
    <w:rsid w:val="000A48B1"/>
    <w:rsid w:val="000B3143"/>
    <w:rsid w:val="000B6700"/>
    <w:rsid w:val="000C6B05"/>
    <w:rsid w:val="000C6DD6"/>
    <w:rsid w:val="000C73D4"/>
    <w:rsid w:val="000D3907"/>
    <w:rsid w:val="000D3D4C"/>
    <w:rsid w:val="000D4F51"/>
    <w:rsid w:val="000D718B"/>
    <w:rsid w:val="000E07AF"/>
    <w:rsid w:val="000E0C46"/>
    <w:rsid w:val="000E3CA5"/>
    <w:rsid w:val="000F030C"/>
    <w:rsid w:val="000F129C"/>
    <w:rsid w:val="000F465A"/>
    <w:rsid w:val="001056DE"/>
    <w:rsid w:val="00106AD3"/>
    <w:rsid w:val="001124C0"/>
    <w:rsid w:val="001266B3"/>
    <w:rsid w:val="0013175F"/>
    <w:rsid w:val="001501B2"/>
    <w:rsid w:val="001512B4"/>
    <w:rsid w:val="00152B2F"/>
    <w:rsid w:val="001620A5"/>
    <w:rsid w:val="00164E53"/>
    <w:rsid w:val="0016699D"/>
    <w:rsid w:val="00175159"/>
    <w:rsid w:val="001754E5"/>
    <w:rsid w:val="00176208"/>
    <w:rsid w:val="0018211B"/>
    <w:rsid w:val="001840D3"/>
    <w:rsid w:val="00186369"/>
    <w:rsid w:val="001900F8"/>
    <w:rsid w:val="00191258"/>
    <w:rsid w:val="00192680"/>
    <w:rsid w:val="00193037"/>
    <w:rsid w:val="00193A2C"/>
    <w:rsid w:val="001A288E"/>
    <w:rsid w:val="001B2C29"/>
    <w:rsid w:val="001B6DC2"/>
    <w:rsid w:val="001C149C"/>
    <w:rsid w:val="001C21AC"/>
    <w:rsid w:val="001C47BA"/>
    <w:rsid w:val="001C59EA"/>
    <w:rsid w:val="001D406C"/>
    <w:rsid w:val="001D41EE"/>
    <w:rsid w:val="001E0380"/>
    <w:rsid w:val="001E11CA"/>
    <w:rsid w:val="001E13B1"/>
    <w:rsid w:val="001F3A19"/>
    <w:rsid w:val="00204091"/>
    <w:rsid w:val="0022020A"/>
    <w:rsid w:val="00234467"/>
    <w:rsid w:val="00237D8D"/>
    <w:rsid w:val="00241183"/>
    <w:rsid w:val="00241DA2"/>
    <w:rsid w:val="00244B20"/>
    <w:rsid w:val="00247FEE"/>
    <w:rsid w:val="00250340"/>
    <w:rsid w:val="00250E7D"/>
    <w:rsid w:val="002565D5"/>
    <w:rsid w:val="002622C0"/>
    <w:rsid w:val="00270E48"/>
    <w:rsid w:val="002778AE"/>
    <w:rsid w:val="0028269A"/>
    <w:rsid w:val="00282CAB"/>
    <w:rsid w:val="00283590"/>
    <w:rsid w:val="0028433F"/>
    <w:rsid w:val="00286973"/>
    <w:rsid w:val="00286C79"/>
    <w:rsid w:val="00294E70"/>
    <w:rsid w:val="002A1924"/>
    <w:rsid w:val="002A7420"/>
    <w:rsid w:val="002B0F12"/>
    <w:rsid w:val="002B1308"/>
    <w:rsid w:val="002B4554"/>
    <w:rsid w:val="002C6404"/>
    <w:rsid w:val="002C72D8"/>
    <w:rsid w:val="002D11FA"/>
    <w:rsid w:val="002D12A9"/>
    <w:rsid w:val="002E0DDF"/>
    <w:rsid w:val="002E2906"/>
    <w:rsid w:val="002E5635"/>
    <w:rsid w:val="002E5CE2"/>
    <w:rsid w:val="002E64C3"/>
    <w:rsid w:val="002E6A2C"/>
    <w:rsid w:val="002F1D8C"/>
    <w:rsid w:val="002F21DA"/>
    <w:rsid w:val="00301F39"/>
    <w:rsid w:val="00304BCC"/>
    <w:rsid w:val="00306053"/>
    <w:rsid w:val="00311969"/>
    <w:rsid w:val="00317360"/>
    <w:rsid w:val="00325926"/>
    <w:rsid w:val="00327305"/>
    <w:rsid w:val="00327A8A"/>
    <w:rsid w:val="00327ADA"/>
    <w:rsid w:val="00336610"/>
    <w:rsid w:val="00343F73"/>
    <w:rsid w:val="00345060"/>
    <w:rsid w:val="00351A51"/>
    <w:rsid w:val="0035323B"/>
    <w:rsid w:val="0035440D"/>
    <w:rsid w:val="003609D2"/>
    <w:rsid w:val="0036351E"/>
    <w:rsid w:val="00363F22"/>
    <w:rsid w:val="003713FE"/>
    <w:rsid w:val="00375564"/>
    <w:rsid w:val="00383191"/>
    <w:rsid w:val="00386DED"/>
    <w:rsid w:val="003912E7"/>
    <w:rsid w:val="00393947"/>
    <w:rsid w:val="003A2275"/>
    <w:rsid w:val="003A3C30"/>
    <w:rsid w:val="003A6A4F"/>
    <w:rsid w:val="003A7088"/>
    <w:rsid w:val="003B00DF"/>
    <w:rsid w:val="003B1275"/>
    <w:rsid w:val="003B1778"/>
    <w:rsid w:val="003B2B2B"/>
    <w:rsid w:val="003C0FFA"/>
    <w:rsid w:val="003C11CB"/>
    <w:rsid w:val="003C35F7"/>
    <w:rsid w:val="003C5805"/>
    <w:rsid w:val="003C75F3"/>
    <w:rsid w:val="003C78A3"/>
    <w:rsid w:val="003D2A42"/>
    <w:rsid w:val="003D6E84"/>
    <w:rsid w:val="003E1867"/>
    <w:rsid w:val="003E4BE7"/>
    <w:rsid w:val="003E5729"/>
    <w:rsid w:val="003F4EE0"/>
    <w:rsid w:val="003F7121"/>
    <w:rsid w:val="00402153"/>
    <w:rsid w:val="00402FC1"/>
    <w:rsid w:val="00404777"/>
    <w:rsid w:val="004107E3"/>
    <w:rsid w:val="00410BD1"/>
    <w:rsid w:val="00417EFF"/>
    <w:rsid w:val="00425082"/>
    <w:rsid w:val="00430F6E"/>
    <w:rsid w:val="00431DEB"/>
    <w:rsid w:val="004347B7"/>
    <w:rsid w:val="004353EE"/>
    <w:rsid w:val="00435EA1"/>
    <w:rsid w:val="0044196E"/>
    <w:rsid w:val="00446B29"/>
    <w:rsid w:val="00453F9A"/>
    <w:rsid w:val="00455826"/>
    <w:rsid w:val="0045675F"/>
    <w:rsid w:val="0046094C"/>
    <w:rsid w:val="004666FE"/>
    <w:rsid w:val="00467C6C"/>
    <w:rsid w:val="00471E91"/>
    <w:rsid w:val="00474675"/>
    <w:rsid w:val="0047470C"/>
    <w:rsid w:val="00476769"/>
    <w:rsid w:val="004928FC"/>
    <w:rsid w:val="00496E66"/>
    <w:rsid w:val="004A2545"/>
    <w:rsid w:val="004A35F9"/>
    <w:rsid w:val="004A56AF"/>
    <w:rsid w:val="004B24C1"/>
    <w:rsid w:val="004B6C14"/>
    <w:rsid w:val="004C041C"/>
    <w:rsid w:val="004C292F"/>
    <w:rsid w:val="004E3F9C"/>
    <w:rsid w:val="004E50F0"/>
    <w:rsid w:val="004F0B84"/>
    <w:rsid w:val="004F0CAB"/>
    <w:rsid w:val="004F478F"/>
    <w:rsid w:val="004F7468"/>
    <w:rsid w:val="00510280"/>
    <w:rsid w:val="0051263D"/>
    <w:rsid w:val="00512815"/>
    <w:rsid w:val="00513D73"/>
    <w:rsid w:val="00514A43"/>
    <w:rsid w:val="005174E5"/>
    <w:rsid w:val="00522393"/>
    <w:rsid w:val="00522516"/>
    <w:rsid w:val="00522620"/>
    <w:rsid w:val="00525656"/>
    <w:rsid w:val="00533AAF"/>
    <w:rsid w:val="00534C02"/>
    <w:rsid w:val="0054264B"/>
    <w:rsid w:val="00543786"/>
    <w:rsid w:val="005533D7"/>
    <w:rsid w:val="00560704"/>
    <w:rsid w:val="005673F1"/>
    <w:rsid w:val="005703DE"/>
    <w:rsid w:val="00571A3C"/>
    <w:rsid w:val="0058464E"/>
    <w:rsid w:val="005906BC"/>
    <w:rsid w:val="00591B96"/>
    <w:rsid w:val="00597948"/>
    <w:rsid w:val="005A01CB"/>
    <w:rsid w:val="005A0275"/>
    <w:rsid w:val="005A58FF"/>
    <w:rsid w:val="005A5EAF"/>
    <w:rsid w:val="005A5EDA"/>
    <w:rsid w:val="005A64C0"/>
    <w:rsid w:val="005A76A2"/>
    <w:rsid w:val="005B3C11"/>
    <w:rsid w:val="005C0774"/>
    <w:rsid w:val="005C1C28"/>
    <w:rsid w:val="005C6DB5"/>
    <w:rsid w:val="005E0443"/>
    <w:rsid w:val="005E19E7"/>
    <w:rsid w:val="00607A9B"/>
    <w:rsid w:val="00612DF2"/>
    <w:rsid w:val="006166C0"/>
    <w:rsid w:val="0061716C"/>
    <w:rsid w:val="00623078"/>
    <w:rsid w:val="006233F5"/>
    <w:rsid w:val="006243A1"/>
    <w:rsid w:val="00632E56"/>
    <w:rsid w:val="00635C4C"/>
    <w:rsid w:val="00635CBA"/>
    <w:rsid w:val="00637C12"/>
    <w:rsid w:val="00641D18"/>
    <w:rsid w:val="0064338B"/>
    <w:rsid w:val="00645EBF"/>
    <w:rsid w:val="00646542"/>
    <w:rsid w:val="006504F4"/>
    <w:rsid w:val="006546D1"/>
    <w:rsid w:val="00654BC9"/>
    <w:rsid w:val="006552FD"/>
    <w:rsid w:val="00656B8A"/>
    <w:rsid w:val="00662B13"/>
    <w:rsid w:val="00663AF3"/>
    <w:rsid w:val="00666B6C"/>
    <w:rsid w:val="00682682"/>
    <w:rsid w:val="00682702"/>
    <w:rsid w:val="0069031C"/>
    <w:rsid w:val="00692368"/>
    <w:rsid w:val="006937AA"/>
    <w:rsid w:val="00696B56"/>
    <w:rsid w:val="006A2EBC"/>
    <w:rsid w:val="006A5C0E"/>
    <w:rsid w:val="006A5EA0"/>
    <w:rsid w:val="006A783B"/>
    <w:rsid w:val="006A7B33"/>
    <w:rsid w:val="006B458A"/>
    <w:rsid w:val="006B4E13"/>
    <w:rsid w:val="006B75DD"/>
    <w:rsid w:val="006C67E0"/>
    <w:rsid w:val="006C7ABA"/>
    <w:rsid w:val="006D0D60"/>
    <w:rsid w:val="006D1122"/>
    <w:rsid w:val="006D3C00"/>
    <w:rsid w:val="006E3675"/>
    <w:rsid w:val="006E4A7F"/>
    <w:rsid w:val="0070157C"/>
    <w:rsid w:val="00704DF6"/>
    <w:rsid w:val="0070651C"/>
    <w:rsid w:val="00706E14"/>
    <w:rsid w:val="007132A3"/>
    <w:rsid w:val="00714161"/>
    <w:rsid w:val="00716421"/>
    <w:rsid w:val="0072039C"/>
    <w:rsid w:val="00724EFB"/>
    <w:rsid w:val="00731BA5"/>
    <w:rsid w:val="007419C3"/>
    <w:rsid w:val="0074376F"/>
    <w:rsid w:val="007467A7"/>
    <w:rsid w:val="007469DD"/>
    <w:rsid w:val="0074741B"/>
    <w:rsid w:val="0074759E"/>
    <w:rsid w:val="007478EA"/>
    <w:rsid w:val="007528C2"/>
    <w:rsid w:val="0075415C"/>
    <w:rsid w:val="00763502"/>
    <w:rsid w:val="00770CA2"/>
    <w:rsid w:val="00773E9B"/>
    <w:rsid w:val="00775E2C"/>
    <w:rsid w:val="007913AB"/>
    <w:rsid w:val="007914F7"/>
    <w:rsid w:val="007A6621"/>
    <w:rsid w:val="007B1625"/>
    <w:rsid w:val="007B706E"/>
    <w:rsid w:val="007B71EB"/>
    <w:rsid w:val="007C574A"/>
    <w:rsid w:val="007C6205"/>
    <w:rsid w:val="007C686A"/>
    <w:rsid w:val="007C728E"/>
    <w:rsid w:val="007D2C53"/>
    <w:rsid w:val="007D3D60"/>
    <w:rsid w:val="007D5796"/>
    <w:rsid w:val="007E1980"/>
    <w:rsid w:val="007E4B76"/>
    <w:rsid w:val="007E5EA8"/>
    <w:rsid w:val="007F0CF1"/>
    <w:rsid w:val="007F12A5"/>
    <w:rsid w:val="007F4CF1"/>
    <w:rsid w:val="007F758D"/>
    <w:rsid w:val="007F7D52"/>
    <w:rsid w:val="0080654C"/>
    <w:rsid w:val="00806D57"/>
    <w:rsid w:val="008071C6"/>
    <w:rsid w:val="00813429"/>
    <w:rsid w:val="00817A00"/>
    <w:rsid w:val="00817D3B"/>
    <w:rsid w:val="00835DB3"/>
    <w:rsid w:val="0083617B"/>
    <w:rsid w:val="008371BD"/>
    <w:rsid w:val="008436C5"/>
    <w:rsid w:val="008504A8"/>
    <w:rsid w:val="0085282E"/>
    <w:rsid w:val="0087198C"/>
    <w:rsid w:val="00872C1F"/>
    <w:rsid w:val="00873B42"/>
    <w:rsid w:val="00873F2F"/>
    <w:rsid w:val="00881441"/>
    <w:rsid w:val="008856D8"/>
    <w:rsid w:val="00892E82"/>
    <w:rsid w:val="008A1DA9"/>
    <w:rsid w:val="008B6D0E"/>
    <w:rsid w:val="008B7AB9"/>
    <w:rsid w:val="008B7C70"/>
    <w:rsid w:val="008C1B58"/>
    <w:rsid w:val="008C39AE"/>
    <w:rsid w:val="008C3FF4"/>
    <w:rsid w:val="008C590D"/>
    <w:rsid w:val="008D37E4"/>
    <w:rsid w:val="008E031B"/>
    <w:rsid w:val="008E1154"/>
    <w:rsid w:val="008E7029"/>
    <w:rsid w:val="008E7EF6"/>
    <w:rsid w:val="008F1F98"/>
    <w:rsid w:val="008F3AAE"/>
    <w:rsid w:val="008F6758"/>
    <w:rsid w:val="009040DD"/>
    <w:rsid w:val="00905B47"/>
    <w:rsid w:val="0091331C"/>
    <w:rsid w:val="00921292"/>
    <w:rsid w:val="009279DE"/>
    <w:rsid w:val="00930116"/>
    <w:rsid w:val="0093314A"/>
    <w:rsid w:val="0094212C"/>
    <w:rsid w:val="00954689"/>
    <w:rsid w:val="009617C9"/>
    <w:rsid w:val="00961C93"/>
    <w:rsid w:val="00965324"/>
    <w:rsid w:val="0097091E"/>
    <w:rsid w:val="009760D3"/>
    <w:rsid w:val="00977132"/>
    <w:rsid w:val="009779CF"/>
    <w:rsid w:val="00981A4B"/>
    <w:rsid w:val="00982501"/>
    <w:rsid w:val="00985AB3"/>
    <w:rsid w:val="00985D17"/>
    <w:rsid w:val="009877D3"/>
    <w:rsid w:val="00994E8F"/>
    <w:rsid w:val="009951DC"/>
    <w:rsid w:val="009959BB"/>
    <w:rsid w:val="00997158"/>
    <w:rsid w:val="009A2D35"/>
    <w:rsid w:val="009A3A7C"/>
    <w:rsid w:val="009A4D3B"/>
    <w:rsid w:val="009B2ADB"/>
    <w:rsid w:val="009B603A"/>
    <w:rsid w:val="009C2D0E"/>
    <w:rsid w:val="009C3DAC"/>
    <w:rsid w:val="009C42E0"/>
    <w:rsid w:val="009D14B8"/>
    <w:rsid w:val="009D5362"/>
    <w:rsid w:val="009E1415"/>
    <w:rsid w:val="009E6116"/>
    <w:rsid w:val="009F2033"/>
    <w:rsid w:val="009F37FD"/>
    <w:rsid w:val="009F7882"/>
    <w:rsid w:val="00A02E43"/>
    <w:rsid w:val="00A065F9"/>
    <w:rsid w:val="00A07F34"/>
    <w:rsid w:val="00A13373"/>
    <w:rsid w:val="00A161B3"/>
    <w:rsid w:val="00A22154"/>
    <w:rsid w:val="00A25C38"/>
    <w:rsid w:val="00A27200"/>
    <w:rsid w:val="00A27DB2"/>
    <w:rsid w:val="00A36BBE"/>
    <w:rsid w:val="00A4307A"/>
    <w:rsid w:val="00A47EBB"/>
    <w:rsid w:val="00A51CDD"/>
    <w:rsid w:val="00A6730D"/>
    <w:rsid w:val="00A71625"/>
    <w:rsid w:val="00A71B9B"/>
    <w:rsid w:val="00A751C7"/>
    <w:rsid w:val="00A76D0D"/>
    <w:rsid w:val="00A77A0D"/>
    <w:rsid w:val="00A86159"/>
    <w:rsid w:val="00A87844"/>
    <w:rsid w:val="00A948E0"/>
    <w:rsid w:val="00A96428"/>
    <w:rsid w:val="00AA038C"/>
    <w:rsid w:val="00AA2FD3"/>
    <w:rsid w:val="00AA7A09"/>
    <w:rsid w:val="00AB3B50"/>
    <w:rsid w:val="00AC05B1"/>
    <w:rsid w:val="00AC3BE9"/>
    <w:rsid w:val="00AD1BA1"/>
    <w:rsid w:val="00AD356C"/>
    <w:rsid w:val="00AE2914"/>
    <w:rsid w:val="00AE6647"/>
    <w:rsid w:val="00AE6D15"/>
    <w:rsid w:val="00AF40AA"/>
    <w:rsid w:val="00B01AF3"/>
    <w:rsid w:val="00B03DD1"/>
    <w:rsid w:val="00B04182"/>
    <w:rsid w:val="00B07AE3"/>
    <w:rsid w:val="00B11430"/>
    <w:rsid w:val="00B3348C"/>
    <w:rsid w:val="00B353EB"/>
    <w:rsid w:val="00B439C4"/>
    <w:rsid w:val="00B4535E"/>
    <w:rsid w:val="00B52A8C"/>
    <w:rsid w:val="00B60A4B"/>
    <w:rsid w:val="00B636A8"/>
    <w:rsid w:val="00B665C6"/>
    <w:rsid w:val="00B805AF"/>
    <w:rsid w:val="00B869EC"/>
    <w:rsid w:val="00B86FC5"/>
    <w:rsid w:val="00B9397A"/>
    <w:rsid w:val="00B9633D"/>
    <w:rsid w:val="00BA2EBE"/>
    <w:rsid w:val="00BB0F28"/>
    <w:rsid w:val="00BB36D0"/>
    <w:rsid w:val="00BB44D6"/>
    <w:rsid w:val="00BB458A"/>
    <w:rsid w:val="00BD00D3"/>
    <w:rsid w:val="00BD1659"/>
    <w:rsid w:val="00BD3AA9"/>
    <w:rsid w:val="00BD4083"/>
    <w:rsid w:val="00BD4683"/>
    <w:rsid w:val="00BD4A18"/>
    <w:rsid w:val="00BD6DB2"/>
    <w:rsid w:val="00BE11CF"/>
    <w:rsid w:val="00BE21AB"/>
    <w:rsid w:val="00BE55CB"/>
    <w:rsid w:val="00BF001B"/>
    <w:rsid w:val="00BF1014"/>
    <w:rsid w:val="00BF617A"/>
    <w:rsid w:val="00C0379D"/>
    <w:rsid w:val="00C03931"/>
    <w:rsid w:val="00C05FE3"/>
    <w:rsid w:val="00C1295A"/>
    <w:rsid w:val="00C2136D"/>
    <w:rsid w:val="00C214EE"/>
    <w:rsid w:val="00C2314B"/>
    <w:rsid w:val="00C24971"/>
    <w:rsid w:val="00C26BE5"/>
    <w:rsid w:val="00C26E4D"/>
    <w:rsid w:val="00C27909"/>
    <w:rsid w:val="00C27B03"/>
    <w:rsid w:val="00C314E1"/>
    <w:rsid w:val="00C3319E"/>
    <w:rsid w:val="00C34397"/>
    <w:rsid w:val="00C35F01"/>
    <w:rsid w:val="00C4095D"/>
    <w:rsid w:val="00C46018"/>
    <w:rsid w:val="00C601D2"/>
    <w:rsid w:val="00C607FE"/>
    <w:rsid w:val="00C629D1"/>
    <w:rsid w:val="00C657AB"/>
    <w:rsid w:val="00C65BCC"/>
    <w:rsid w:val="00C66970"/>
    <w:rsid w:val="00C74574"/>
    <w:rsid w:val="00C76E8E"/>
    <w:rsid w:val="00C8691C"/>
    <w:rsid w:val="00C93466"/>
    <w:rsid w:val="00CA168A"/>
    <w:rsid w:val="00CA357E"/>
    <w:rsid w:val="00CA44F9"/>
    <w:rsid w:val="00CA4A69"/>
    <w:rsid w:val="00CA7632"/>
    <w:rsid w:val="00CB19BD"/>
    <w:rsid w:val="00CB1C15"/>
    <w:rsid w:val="00CC1688"/>
    <w:rsid w:val="00CC3E0C"/>
    <w:rsid w:val="00CC58D3"/>
    <w:rsid w:val="00CC784D"/>
    <w:rsid w:val="00CD2407"/>
    <w:rsid w:val="00CD2AC9"/>
    <w:rsid w:val="00CD68C4"/>
    <w:rsid w:val="00CE5699"/>
    <w:rsid w:val="00CF0A92"/>
    <w:rsid w:val="00CF6347"/>
    <w:rsid w:val="00D0337B"/>
    <w:rsid w:val="00D0576F"/>
    <w:rsid w:val="00D079B2"/>
    <w:rsid w:val="00D114E9"/>
    <w:rsid w:val="00D1413C"/>
    <w:rsid w:val="00D1502D"/>
    <w:rsid w:val="00D20524"/>
    <w:rsid w:val="00D27C57"/>
    <w:rsid w:val="00D341FE"/>
    <w:rsid w:val="00D358EB"/>
    <w:rsid w:val="00D35A08"/>
    <w:rsid w:val="00D429C6"/>
    <w:rsid w:val="00D434C2"/>
    <w:rsid w:val="00D45ACA"/>
    <w:rsid w:val="00D47748"/>
    <w:rsid w:val="00D47C93"/>
    <w:rsid w:val="00D54CC3"/>
    <w:rsid w:val="00D6041A"/>
    <w:rsid w:val="00D633EB"/>
    <w:rsid w:val="00D67175"/>
    <w:rsid w:val="00D82FF7"/>
    <w:rsid w:val="00D847FE"/>
    <w:rsid w:val="00D95EC0"/>
    <w:rsid w:val="00D964EA"/>
    <w:rsid w:val="00D966D0"/>
    <w:rsid w:val="00DA0C59"/>
    <w:rsid w:val="00DA3991"/>
    <w:rsid w:val="00DB7E6C"/>
    <w:rsid w:val="00DB7FEA"/>
    <w:rsid w:val="00DD5A29"/>
    <w:rsid w:val="00DD5D9D"/>
    <w:rsid w:val="00DE35CB"/>
    <w:rsid w:val="00DE4585"/>
    <w:rsid w:val="00DE478F"/>
    <w:rsid w:val="00DE7A26"/>
    <w:rsid w:val="00DF1E38"/>
    <w:rsid w:val="00DF21E9"/>
    <w:rsid w:val="00E00084"/>
    <w:rsid w:val="00E00F14"/>
    <w:rsid w:val="00E06386"/>
    <w:rsid w:val="00E10D2E"/>
    <w:rsid w:val="00E11FB7"/>
    <w:rsid w:val="00E24EB4"/>
    <w:rsid w:val="00E25B63"/>
    <w:rsid w:val="00E27C98"/>
    <w:rsid w:val="00E320ED"/>
    <w:rsid w:val="00E33AFB"/>
    <w:rsid w:val="00E34218"/>
    <w:rsid w:val="00E37876"/>
    <w:rsid w:val="00E46282"/>
    <w:rsid w:val="00E5216E"/>
    <w:rsid w:val="00E524BB"/>
    <w:rsid w:val="00E82344"/>
    <w:rsid w:val="00E84600"/>
    <w:rsid w:val="00E84C82"/>
    <w:rsid w:val="00E84D64"/>
    <w:rsid w:val="00E84DD6"/>
    <w:rsid w:val="00E87408"/>
    <w:rsid w:val="00E914C4"/>
    <w:rsid w:val="00E91AB2"/>
    <w:rsid w:val="00E934F5"/>
    <w:rsid w:val="00E96961"/>
    <w:rsid w:val="00EA72EC"/>
    <w:rsid w:val="00EB11CB"/>
    <w:rsid w:val="00EB275A"/>
    <w:rsid w:val="00EB786A"/>
    <w:rsid w:val="00EC121C"/>
    <w:rsid w:val="00EC1578"/>
    <w:rsid w:val="00EC1C72"/>
    <w:rsid w:val="00EC3CC9"/>
    <w:rsid w:val="00EC4C4E"/>
    <w:rsid w:val="00EC680A"/>
    <w:rsid w:val="00ED4BB1"/>
    <w:rsid w:val="00EE027E"/>
    <w:rsid w:val="00EE2BED"/>
    <w:rsid w:val="00EE2CF4"/>
    <w:rsid w:val="00EE374B"/>
    <w:rsid w:val="00EE3A94"/>
    <w:rsid w:val="00EF0238"/>
    <w:rsid w:val="00F008EE"/>
    <w:rsid w:val="00F029DE"/>
    <w:rsid w:val="00F11BB5"/>
    <w:rsid w:val="00F136D3"/>
    <w:rsid w:val="00F1417B"/>
    <w:rsid w:val="00F23287"/>
    <w:rsid w:val="00F23912"/>
    <w:rsid w:val="00F34B99"/>
    <w:rsid w:val="00F434DE"/>
    <w:rsid w:val="00F52DAB"/>
    <w:rsid w:val="00F543F0"/>
    <w:rsid w:val="00F61D71"/>
    <w:rsid w:val="00F65A0B"/>
    <w:rsid w:val="00F75B6A"/>
    <w:rsid w:val="00F81D29"/>
    <w:rsid w:val="00F91C4D"/>
    <w:rsid w:val="00F92FD9"/>
    <w:rsid w:val="00F96C2D"/>
    <w:rsid w:val="00F97EF9"/>
    <w:rsid w:val="00FA2BA0"/>
    <w:rsid w:val="00FA6684"/>
    <w:rsid w:val="00FA731E"/>
    <w:rsid w:val="00FB2B38"/>
    <w:rsid w:val="00FB2DB4"/>
    <w:rsid w:val="00FB3D49"/>
    <w:rsid w:val="00FB4035"/>
    <w:rsid w:val="00FB504D"/>
    <w:rsid w:val="00FC023C"/>
    <w:rsid w:val="00FC2BBF"/>
    <w:rsid w:val="00FC4F8E"/>
    <w:rsid w:val="00FC6358"/>
    <w:rsid w:val="00FD320D"/>
    <w:rsid w:val="00FD3DB1"/>
    <w:rsid w:val="00FE23DE"/>
    <w:rsid w:val="00FE2FFF"/>
    <w:rsid w:val="00FE4F47"/>
    <w:rsid w:val="00FF5ACE"/>
    <w:rsid w:val="00FF65A1"/>
    <w:rsid w:val="01BF5575"/>
    <w:rsid w:val="01CE70BB"/>
    <w:rsid w:val="01D34B7C"/>
    <w:rsid w:val="0256755B"/>
    <w:rsid w:val="0295277A"/>
    <w:rsid w:val="02A209F3"/>
    <w:rsid w:val="03B64756"/>
    <w:rsid w:val="03E80687"/>
    <w:rsid w:val="03FE03D1"/>
    <w:rsid w:val="048A4F96"/>
    <w:rsid w:val="04DC01EC"/>
    <w:rsid w:val="059B4E40"/>
    <w:rsid w:val="05CA5EFC"/>
    <w:rsid w:val="060510FD"/>
    <w:rsid w:val="06165A2F"/>
    <w:rsid w:val="06361B7E"/>
    <w:rsid w:val="07A926B9"/>
    <w:rsid w:val="09652171"/>
    <w:rsid w:val="09E0077E"/>
    <w:rsid w:val="0A2D3298"/>
    <w:rsid w:val="0A8C6210"/>
    <w:rsid w:val="0A96708F"/>
    <w:rsid w:val="0BE43E2A"/>
    <w:rsid w:val="0C474AE5"/>
    <w:rsid w:val="0C4F1BEB"/>
    <w:rsid w:val="0C5B40EC"/>
    <w:rsid w:val="0D5A6441"/>
    <w:rsid w:val="0D6E42F3"/>
    <w:rsid w:val="0E8F62CF"/>
    <w:rsid w:val="0E9E4764"/>
    <w:rsid w:val="0F5D461F"/>
    <w:rsid w:val="10150A56"/>
    <w:rsid w:val="108654B0"/>
    <w:rsid w:val="10973B61"/>
    <w:rsid w:val="11442687"/>
    <w:rsid w:val="11F03528"/>
    <w:rsid w:val="11F646D2"/>
    <w:rsid w:val="12413D84"/>
    <w:rsid w:val="1288550F"/>
    <w:rsid w:val="13A445CA"/>
    <w:rsid w:val="14CA5B2C"/>
    <w:rsid w:val="15610299"/>
    <w:rsid w:val="1654648F"/>
    <w:rsid w:val="173350F9"/>
    <w:rsid w:val="17375756"/>
    <w:rsid w:val="17B15508"/>
    <w:rsid w:val="185540E5"/>
    <w:rsid w:val="18DB72CC"/>
    <w:rsid w:val="19232435"/>
    <w:rsid w:val="193208CA"/>
    <w:rsid w:val="193957B5"/>
    <w:rsid w:val="195A7F25"/>
    <w:rsid w:val="19DD25E4"/>
    <w:rsid w:val="1A44465B"/>
    <w:rsid w:val="1AC11F06"/>
    <w:rsid w:val="1B03607B"/>
    <w:rsid w:val="1B6D668B"/>
    <w:rsid w:val="1CA31559"/>
    <w:rsid w:val="1D085BCA"/>
    <w:rsid w:val="1DC92705"/>
    <w:rsid w:val="1EAA4A5F"/>
    <w:rsid w:val="1EC27FFB"/>
    <w:rsid w:val="1FB8708E"/>
    <w:rsid w:val="1FE312CB"/>
    <w:rsid w:val="1FF561AE"/>
    <w:rsid w:val="21353F88"/>
    <w:rsid w:val="21613AFB"/>
    <w:rsid w:val="21674E89"/>
    <w:rsid w:val="21920158"/>
    <w:rsid w:val="22404523"/>
    <w:rsid w:val="228E2802"/>
    <w:rsid w:val="22EB2FF6"/>
    <w:rsid w:val="22F64717"/>
    <w:rsid w:val="233D40F4"/>
    <w:rsid w:val="233E15B8"/>
    <w:rsid w:val="23767606"/>
    <w:rsid w:val="239F4DAE"/>
    <w:rsid w:val="24003A9F"/>
    <w:rsid w:val="24B65F0C"/>
    <w:rsid w:val="24E72569"/>
    <w:rsid w:val="24FD3B3B"/>
    <w:rsid w:val="25331C52"/>
    <w:rsid w:val="25506360"/>
    <w:rsid w:val="25A246E2"/>
    <w:rsid w:val="26EB1EFE"/>
    <w:rsid w:val="26EF0A4D"/>
    <w:rsid w:val="282B6C11"/>
    <w:rsid w:val="285C14C0"/>
    <w:rsid w:val="28951C21"/>
    <w:rsid w:val="29312005"/>
    <w:rsid w:val="299407E6"/>
    <w:rsid w:val="2A3F0751"/>
    <w:rsid w:val="2A636B36"/>
    <w:rsid w:val="2B035C23"/>
    <w:rsid w:val="2B0B2D29"/>
    <w:rsid w:val="2B6D7540"/>
    <w:rsid w:val="2B944ACD"/>
    <w:rsid w:val="2C1B6F9C"/>
    <w:rsid w:val="2CC7260A"/>
    <w:rsid w:val="2CDE24A4"/>
    <w:rsid w:val="2DBA2F11"/>
    <w:rsid w:val="2DCA0C7A"/>
    <w:rsid w:val="2DF31F7F"/>
    <w:rsid w:val="2EC41B6D"/>
    <w:rsid w:val="2FAA2B11"/>
    <w:rsid w:val="2FBB395D"/>
    <w:rsid w:val="2FEC137B"/>
    <w:rsid w:val="302F74C7"/>
    <w:rsid w:val="30FC739C"/>
    <w:rsid w:val="310D7CA2"/>
    <w:rsid w:val="317F3B29"/>
    <w:rsid w:val="31A31F0E"/>
    <w:rsid w:val="31D73965"/>
    <w:rsid w:val="32544FB6"/>
    <w:rsid w:val="332E5807"/>
    <w:rsid w:val="33B57CD6"/>
    <w:rsid w:val="33F151B2"/>
    <w:rsid w:val="341E7629"/>
    <w:rsid w:val="34FA1E45"/>
    <w:rsid w:val="35031B4C"/>
    <w:rsid w:val="359A3628"/>
    <w:rsid w:val="360F1920"/>
    <w:rsid w:val="36AA789A"/>
    <w:rsid w:val="37074CED"/>
    <w:rsid w:val="37BA58BB"/>
    <w:rsid w:val="38563836"/>
    <w:rsid w:val="385C4BC4"/>
    <w:rsid w:val="388D2FD0"/>
    <w:rsid w:val="38B844F1"/>
    <w:rsid w:val="397B107A"/>
    <w:rsid w:val="3A331955"/>
    <w:rsid w:val="3B710987"/>
    <w:rsid w:val="3BCB62E9"/>
    <w:rsid w:val="3C09381C"/>
    <w:rsid w:val="3CD4741F"/>
    <w:rsid w:val="3D527DBF"/>
    <w:rsid w:val="3D7A6218"/>
    <w:rsid w:val="3E497999"/>
    <w:rsid w:val="3E6E11AD"/>
    <w:rsid w:val="3E6F6112"/>
    <w:rsid w:val="3EE6343A"/>
    <w:rsid w:val="3F966D63"/>
    <w:rsid w:val="3FC27A03"/>
    <w:rsid w:val="401F09B1"/>
    <w:rsid w:val="40CD2B03"/>
    <w:rsid w:val="40DC4AF4"/>
    <w:rsid w:val="40F07398"/>
    <w:rsid w:val="40FC6F44"/>
    <w:rsid w:val="41986C6D"/>
    <w:rsid w:val="42982C9D"/>
    <w:rsid w:val="42E034C3"/>
    <w:rsid w:val="42FB3958"/>
    <w:rsid w:val="43086074"/>
    <w:rsid w:val="434F77FF"/>
    <w:rsid w:val="43F3462F"/>
    <w:rsid w:val="440A7BCA"/>
    <w:rsid w:val="44B57B36"/>
    <w:rsid w:val="44CE0BF8"/>
    <w:rsid w:val="44DE52DF"/>
    <w:rsid w:val="44EF3E02"/>
    <w:rsid w:val="459040FF"/>
    <w:rsid w:val="467C4DAF"/>
    <w:rsid w:val="46C67B53"/>
    <w:rsid w:val="46C73B51"/>
    <w:rsid w:val="47321912"/>
    <w:rsid w:val="47460F19"/>
    <w:rsid w:val="47DB5B06"/>
    <w:rsid w:val="484C6A03"/>
    <w:rsid w:val="48BF2D31"/>
    <w:rsid w:val="48D82045"/>
    <w:rsid w:val="4A4F6337"/>
    <w:rsid w:val="4AAD305D"/>
    <w:rsid w:val="4ABF170F"/>
    <w:rsid w:val="4B321EE0"/>
    <w:rsid w:val="4B7C7600"/>
    <w:rsid w:val="4BCE14DD"/>
    <w:rsid w:val="4C9D15DC"/>
    <w:rsid w:val="4D8F78AF"/>
    <w:rsid w:val="4DAD3AA0"/>
    <w:rsid w:val="4DDC25D7"/>
    <w:rsid w:val="4E3A0C14"/>
    <w:rsid w:val="4FCC21D8"/>
    <w:rsid w:val="4FE47521"/>
    <w:rsid w:val="4FE87012"/>
    <w:rsid w:val="4FF754A7"/>
    <w:rsid w:val="503E6C32"/>
    <w:rsid w:val="50810B94"/>
    <w:rsid w:val="50A8054F"/>
    <w:rsid w:val="50B45146"/>
    <w:rsid w:val="512C2F2E"/>
    <w:rsid w:val="51855A54"/>
    <w:rsid w:val="52081BED"/>
    <w:rsid w:val="529F262B"/>
    <w:rsid w:val="52F42171"/>
    <w:rsid w:val="533662E6"/>
    <w:rsid w:val="5454111A"/>
    <w:rsid w:val="55545149"/>
    <w:rsid w:val="55546EF7"/>
    <w:rsid w:val="565151E5"/>
    <w:rsid w:val="56CF57D4"/>
    <w:rsid w:val="570B7A8A"/>
    <w:rsid w:val="57266671"/>
    <w:rsid w:val="57376AD1"/>
    <w:rsid w:val="575D6537"/>
    <w:rsid w:val="576D5A10"/>
    <w:rsid w:val="57CD5ADD"/>
    <w:rsid w:val="57EC1669"/>
    <w:rsid w:val="58313520"/>
    <w:rsid w:val="5955323E"/>
    <w:rsid w:val="59AC5554"/>
    <w:rsid w:val="5A380B96"/>
    <w:rsid w:val="5A902780"/>
    <w:rsid w:val="5ABA77FD"/>
    <w:rsid w:val="5BD4669C"/>
    <w:rsid w:val="5C3D06E5"/>
    <w:rsid w:val="5CFF1E3E"/>
    <w:rsid w:val="5DC15346"/>
    <w:rsid w:val="5E483371"/>
    <w:rsid w:val="5E655CD1"/>
    <w:rsid w:val="5F2E2567"/>
    <w:rsid w:val="5F612706"/>
    <w:rsid w:val="5FB07420"/>
    <w:rsid w:val="605405AE"/>
    <w:rsid w:val="629B6165"/>
    <w:rsid w:val="62AF6266"/>
    <w:rsid w:val="63927568"/>
    <w:rsid w:val="63F518A5"/>
    <w:rsid w:val="64153CF6"/>
    <w:rsid w:val="656E5DB3"/>
    <w:rsid w:val="65D35C16"/>
    <w:rsid w:val="67423760"/>
    <w:rsid w:val="67696832"/>
    <w:rsid w:val="68C55CEA"/>
    <w:rsid w:val="690F6F65"/>
    <w:rsid w:val="692F7608"/>
    <w:rsid w:val="69676DA1"/>
    <w:rsid w:val="69847953"/>
    <w:rsid w:val="6A47646D"/>
    <w:rsid w:val="6AEF101E"/>
    <w:rsid w:val="6C6121CE"/>
    <w:rsid w:val="6C613F7C"/>
    <w:rsid w:val="6C7D68DC"/>
    <w:rsid w:val="6CEF1588"/>
    <w:rsid w:val="6CF3094C"/>
    <w:rsid w:val="6D437B25"/>
    <w:rsid w:val="6E1B63AC"/>
    <w:rsid w:val="6E3808E1"/>
    <w:rsid w:val="6EF34C3D"/>
    <w:rsid w:val="70311EB7"/>
    <w:rsid w:val="717E112C"/>
    <w:rsid w:val="73445735"/>
    <w:rsid w:val="73505C96"/>
    <w:rsid w:val="73886292"/>
    <w:rsid w:val="742064CB"/>
    <w:rsid w:val="74277859"/>
    <w:rsid w:val="74732A9E"/>
    <w:rsid w:val="74732D04"/>
    <w:rsid w:val="74E41BEE"/>
    <w:rsid w:val="74F57957"/>
    <w:rsid w:val="75464211"/>
    <w:rsid w:val="7608190C"/>
    <w:rsid w:val="76CB2FCE"/>
    <w:rsid w:val="76F459ED"/>
    <w:rsid w:val="77822FF8"/>
    <w:rsid w:val="77F43158"/>
    <w:rsid w:val="783764D9"/>
    <w:rsid w:val="789B6A68"/>
    <w:rsid w:val="78C25DA2"/>
    <w:rsid w:val="7993773F"/>
    <w:rsid w:val="7A5E5F9F"/>
    <w:rsid w:val="7B0326A2"/>
    <w:rsid w:val="7B9A4DB4"/>
    <w:rsid w:val="7E926217"/>
    <w:rsid w:val="7EC16AFC"/>
    <w:rsid w:val="7F4C0ABC"/>
    <w:rsid w:val="7F54171E"/>
    <w:rsid w:val="7FFBE4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0"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semiHidden/>
    <w:qFormat/>
    <w:uiPriority w:val="0"/>
    <w:pPr>
      <w:tabs>
        <w:tab w:val="right" w:leader="dot" w:pos="9242"/>
      </w:tabs>
      <w:spacing w:before="25" w:beforeLines="25" w:after="25" w:afterLines="25"/>
      <w:jc w:val="left"/>
    </w:pPr>
    <w:rPr>
      <w:rFonts w:ascii="宋体"/>
      <w:szCs w:val="21"/>
    </w:rPr>
  </w:style>
  <w:style w:type="paragraph" w:styleId="18">
    <w:name w:val="toc 4"/>
    <w:basedOn w:val="1"/>
    <w:next w:val="1"/>
    <w:semiHidden/>
    <w:qFormat/>
    <w:uiPriority w:val="0"/>
    <w:pPr>
      <w:tabs>
        <w:tab w:val="right" w:leader="dot" w:pos="9241"/>
      </w:tabs>
      <w:ind w:firstLine="200"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8"/>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autoRedefine/>
    <w:semiHidden/>
    <w:qFormat/>
    <w:uiPriority w:val="0"/>
    <w:pPr>
      <w:tabs>
        <w:tab w:val="right" w:leader="dot" w:pos="9241"/>
      </w:tabs>
      <w:ind w:firstLine="400" w:firstLineChars="400"/>
      <w:jc w:val="left"/>
    </w:pPr>
    <w:rPr>
      <w:rFonts w:ascii="宋体"/>
      <w:szCs w:val="21"/>
    </w:rPr>
  </w:style>
  <w:style w:type="paragraph" w:styleId="24">
    <w:name w:val="index 7"/>
    <w:basedOn w:val="1"/>
    <w:next w:val="1"/>
    <w:autoRedefine/>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2"/>
      </w:tabs>
    </w:pPr>
    <w:rPr>
      <w:rFonts w:ascii="宋体"/>
      <w:szCs w:val="21"/>
    </w:rPr>
  </w:style>
  <w:style w:type="paragraph" w:styleId="27">
    <w:name w:val="toc 9"/>
    <w:basedOn w:val="1"/>
    <w:next w:val="1"/>
    <w:autoRedefine/>
    <w:semiHidden/>
    <w:qFormat/>
    <w:uiPriority w:val="0"/>
    <w:pPr>
      <w:ind w:left="1470"/>
      <w:jc w:val="left"/>
    </w:pPr>
    <w:rPr>
      <w:sz w:val="20"/>
      <w:szCs w:val="20"/>
    </w:rPr>
  </w:style>
  <w:style w:type="paragraph" w:styleId="2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9">
    <w:name w:val="index 2"/>
    <w:basedOn w:val="1"/>
    <w:next w:val="1"/>
    <w:autoRedefine/>
    <w:qFormat/>
    <w:uiPriority w:val="0"/>
    <w:pPr>
      <w:ind w:left="420" w:hanging="210"/>
      <w:jc w:val="left"/>
    </w:pPr>
    <w:rPr>
      <w:rFonts w:ascii="Calibri" w:hAnsi="Calibri"/>
      <w:sz w:val="20"/>
      <w:szCs w:val="20"/>
    </w:rPr>
  </w:style>
  <w:style w:type="table" w:styleId="31">
    <w:name w:val="Table Grid"/>
    <w:basedOn w:val="3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endnote reference"/>
    <w:semiHidden/>
    <w:qFormat/>
    <w:uiPriority w:val="0"/>
    <w:rPr>
      <w:vertAlign w:val="superscript"/>
    </w:rPr>
  </w:style>
  <w:style w:type="character" w:styleId="34">
    <w:name w:val="page number"/>
    <w:qFormat/>
    <w:uiPriority w:val="0"/>
    <w:rPr>
      <w:rFonts w:ascii="Times New Roman" w:hAnsi="Times New Roman" w:eastAsia="宋体"/>
      <w:sz w:val="18"/>
    </w:rPr>
  </w:style>
  <w:style w:type="character" w:styleId="35">
    <w:name w:val="FollowedHyperlink"/>
    <w:qFormat/>
    <w:uiPriority w:val="0"/>
    <w:rPr>
      <w:color w:val="800080"/>
      <w:u w:val="single"/>
    </w:rPr>
  </w:style>
  <w:style w:type="character" w:styleId="36">
    <w:name w:val="Hyperlink"/>
    <w:qFormat/>
    <w:uiPriority w:val="0"/>
    <w:rPr>
      <w:color w:val="0000FF"/>
      <w:spacing w:val="0"/>
      <w:w w:val="100"/>
      <w:szCs w:val="21"/>
      <w:u w:val="single"/>
    </w:rPr>
  </w:style>
  <w:style w:type="character" w:styleId="37">
    <w:name w:val="footnote reference"/>
    <w:semiHidden/>
    <w:qFormat/>
    <w:uiPriority w:val="0"/>
    <w:rPr>
      <w:vertAlign w:val="superscript"/>
    </w:rPr>
  </w:style>
  <w:style w:type="character" w:customStyle="1" w:styleId="38">
    <w:name w:val="段 Char"/>
    <w:link w:val="21"/>
    <w:qFormat/>
    <w:uiPriority w:val="0"/>
    <w:rPr>
      <w:rFonts w:ascii="宋体"/>
      <w:sz w:val="21"/>
      <w:lang w:val="en-US" w:eastAsia="zh-CN" w:bidi="ar-SA"/>
    </w:rPr>
  </w:style>
  <w:style w:type="paragraph" w:customStyle="1" w:styleId="39">
    <w:name w:val="一级条标题"/>
    <w:next w:val="2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0">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2">
    <w:name w:val="章标题"/>
    <w:next w:val="2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3">
    <w:name w:val="二级条标题"/>
    <w:basedOn w:val="39"/>
    <w:next w:val="21"/>
    <w:autoRedefine/>
    <w:qFormat/>
    <w:uiPriority w:val="0"/>
    <w:pPr>
      <w:numPr>
        <w:ilvl w:val="2"/>
        <w:numId w:val="2"/>
      </w:numPr>
      <w:spacing w:before="50" w:after="50"/>
      <w:outlineLvl w:val="3"/>
    </w:pPr>
  </w:style>
  <w:style w:type="paragraph" w:customStyle="1" w:styleId="4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5">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6">
    <w:name w:val="列项●（二级）"/>
    <w:autoRedefine/>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7">
    <w:name w:val="目次、标准名称标题"/>
    <w:basedOn w:val="1"/>
    <w:next w:val="21"/>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8">
    <w:name w:val="三级条标题"/>
    <w:basedOn w:val="43"/>
    <w:next w:val="21"/>
    <w:autoRedefine/>
    <w:qFormat/>
    <w:uiPriority w:val="0"/>
    <w:pPr>
      <w:numPr>
        <w:ilvl w:val="3"/>
        <w:numId w:val="2"/>
      </w:numPr>
      <w:outlineLvl w:val="4"/>
    </w:pPr>
  </w:style>
  <w:style w:type="paragraph" w:customStyle="1" w:styleId="49">
    <w:name w:val="示例"/>
    <w:next w:val="50"/>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1">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2">
    <w:name w:val="四级条标题"/>
    <w:basedOn w:val="48"/>
    <w:next w:val="21"/>
    <w:qFormat/>
    <w:uiPriority w:val="0"/>
    <w:pPr>
      <w:numPr>
        <w:ilvl w:val="4"/>
        <w:numId w:val="2"/>
      </w:numPr>
      <w:outlineLvl w:val="5"/>
    </w:pPr>
  </w:style>
  <w:style w:type="paragraph" w:customStyle="1" w:styleId="53">
    <w:name w:val="五级条标题"/>
    <w:basedOn w:val="52"/>
    <w:next w:val="21"/>
    <w:qFormat/>
    <w:uiPriority w:val="0"/>
    <w:pPr>
      <w:numPr>
        <w:ilvl w:val="5"/>
        <w:numId w:val="2"/>
      </w:numPr>
      <w:outlineLvl w:val="6"/>
    </w:pPr>
  </w:style>
  <w:style w:type="paragraph" w:customStyle="1" w:styleId="54">
    <w:name w:val="注："/>
    <w:next w:val="21"/>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5">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6">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7">
    <w:name w:val="列项◆（三级）"/>
    <w:basedOn w:val="1"/>
    <w:autoRedefine/>
    <w:qFormat/>
    <w:uiPriority w:val="0"/>
    <w:pPr>
      <w:numPr>
        <w:ilvl w:val="2"/>
        <w:numId w:val="3"/>
      </w:numPr>
    </w:pPr>
    <w:rPr>
      <w:rFonts w:ascii="宋体"/>
      <w:szCs w:val="21"/>
    </w:rPr>
  </w:style>
  <w:style w:type="paragraph" w:customStyle="1" w:styleId="58">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9">
    <w:name w:val="示例×："/>
    <w:basedOn w:val="42"/>
    <w:qFormat/>
    <w:uiPriority w:val="0"/>
    <w:pPr>
      <w:numPr>
        <w:ilvl w:val="0"/>
        <w:numId w:val="8"/>
      </w:numPr>
      <w:spacing w:before="0" w:beforeLines="0" w:after="0" w:afterLines="0"/>
      <w:outlineLvl w:val="9"/>
    </w:pPr>
    <w:rPr>
      <w:rFonts w:ascii="宋体" w:eastAsia="宋体"/>
      <w:sz w:val="18"/>
      <w:szCs w:val="18"/>
    </w:rPr>
  </w:style>
  <w:style w:type="paragraph" w:customStyle="1" w:styleId="60">
    <w:name w:val="二级无"/>
    <w:basedOn w:val="43"/>
    <w:qFormat/>
    <w:uiPriority w:val="0"/>
    <w:pPr>
      <w:spacing w:before="0" w:beforeLines="0" w:after="0" w:afterLines="0"/>
      <w:ind w:left="0" w:firstLine="0"/>
    </w:pPr>
    <w:rPr>
      <w:rFonts w:ascii="宋体" w:eastAsia="宋体"/>
    </w:rPr>
  </w:style>
  <w:style w:type="paragraph" w:customStyle="1" w:styleId="61">
    <w:name w:val="注：（正文）"/>
    <w:basedOn w:val="54"/>
    <w:next w:val="21"/>
    <w:qFormat/>
    <w:uiPriority w:val="0"/>
  </w:style>
  <w:style w:type="paragraph" w:customStyle="1" w:styleId="62">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3">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4">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5">
    <w:name w:val="标准书脚_偶数页"/>
    <w:autoRedefine/>
    <w:qFormat/>
    <w:uiPriority w:val="0"/>
    <w:pPr>
      <w:spacing w:before="120"/>
      <w:ind w:left="221"/>
    </w:pPr>
    <w:rPr>
      <w:rFonts w:ascii="宋体" w:hAnsi="Times New Roman" w:eastAsia="宋体" w:cs="Times New Roman"/>
      <w:sz w:val="18"/>
      <w:szCs w:val="18"/>
      <w:lang w:val="en-US" w:eastAsia="zh-CN" w:bidi="ar-SA"/>
    </w:rPr>
  </w:style>
  <w:style w:type="paragraph" w:customStyle="1" w:styleId="66">
    <w:name w:val="标准书眉_偶数页"/>
    <w:basedOn w:val="41"/>
    <w:next w:val="1"/>
    <w:qFormat/>
    <w:uiPriority w:val="0"/>
    <w:pPr>
      <w:jc w:val="left"/>
    </w:pPr>
    <w:rPr>
      <w:rFonts w:ascii="黑体" w:eastAsia="黑体"/>
    </w:rPr>
  </w:style>
  <w:style w:type="paragraph" w:customStyle="1" w:styleId="67">
    <w:name w:val="标准书眉一"/>
    <w:qFormat/>
    <w:uiPriority w:val="0"/>
    <w:pPr>
      <w:jc w:val="both"/>
    </w:pPr>
    <w:rPr>
      <w:rFonts w:ascii="Times New Roman" w:hAnsi="Times New Roman" w:eastAsia="宋体" w:cs="Times New Roman"/>
      <w:lang w:val="en-US" w:eastAsia="zh-CN" w:bidi="ar-SA"/>
    </w:rPr>
  </w:style>
  <w:style w:type="paragraph" w:customStyle="1" w:styleId="68">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9">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0">
    <w:name w:val="发布"/>
    <w:autoRedefine/>
    <w:qFormat/>
    <w:uiPriority w:val="0"/>
    <w:rPr>
      <w:rFonts w:ascii="黑体" w:eastAsia="黑体"/>
      <w:spacing w:val="85"/>
      <w:w w:val="100"/>
      <w:position w:val="3"/>
      <w:sz w:val="28"/>
      <w:szCs w:val="28"/>
    </w:rPr>
  </w:style>
  <w:style w:type="paragraph" w:customStyle="1" w:styleId="71">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2">
    <w:name w:val="发布日期"/>
    <w:autoRedefine/>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6">
    <w:name w:val="封面标准英文名称"/>
    <w:basedOn w:val="75"/>
    <w:autoRedefine/>
    <w:qFormat/>
    <w:uiPriority w:val="0"/>
    <w:pPr>
      <w:spacing w:before="370" w:line="400" w:lineRule="exact"/>
    </w:pPr>
    <w:rPr>
      <w:rFonts w:ascii="Times New Roman"/>
      <w:sz w:val="28"/>
      <w:szCs w:val="28"/>
    </w:rPr>
  </w:style>
  <w:style w:type="paragraph" w:customStyle="1" w:styleId="77">
    <w:name w:val="封面一致性程度标识"/>
    <w:basedOn w:val="76"/>
    <w:qFormat/>
    <w:uiPriority w:val="0"/>
    <w:pPr>
      <w:spacing w:before="440"/>
    </w:pPr>
    <w:rPr>
      <w:rFonts w:ascii="宋体" w:eastAsia="宋体"/>
    </w:rPr>
  </w:style>
  <w:style w:type="paragraph" w:customStyle="1" w:styleId="78">
    <w:name w:val="封面标准文稿类别"/>
    <w:basedOn w:val="77"/>
    <w:autoRedefine/>
    <w:qFormat/>
    <w:uiPriority w:val="0"/>
    <w:pPr>
      <w:spacing w:after="160" w:line="240" w:lineRule="auto"/>
    </w:pPr>
    <w:rPr>
      <w:sz w:val="24"/>
    </w:rPr>
  </w:style>
  <w:style w:type="paragraph" w:customStyle="1" w:styleId="79">
    <w:name w:val="封面标准文稿编辑信息"/>
    <w:basedOn w:val="78"/>
    <w:qFormat/>
    <w:uiPriority w:val="0"/>
    <w:pPr>
      <w:spacing w:before="180" w:line="180" w:lineRule="exact"/>
    </w:pPr>
    <w:rPr>
      <w:sz w:val="21"/>
    </w:rPr>
  </w:style>
  <w:style w:type="paragraph" w:customStyle="1" w:styleId="80">
    <w:name w:val="封面正文"/>
    <w:autoRedefine/>
    <w:qFormat/>
    <w:uiPriority w:val="0"/>
    <w:pPr>
      <w:jc w:val="both"/>
    </w:pPr>
    <w:rPr>
      <w:rFonts w:ascii="Times New Roman" w:hAnsi="Times New Roman" w:eastAsia="宋体" w:cs="Times New Roman"/>
      <w:lang w:val="en-US" w:eastAsia="zh-CN" w:bidi="ar-SA"/>
    </w:rPr>
  </w:style>
  <w:style w:type="paragraph" w:customStyle="1" w:styleId="81">
    <w:name w:val="附录标识"/>
    <w:basedOn w:val="1"/>
    <w:next w:val="21"/>
    <w:autoRedefine/>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2">
    <w:name w:val="附录标题"/>
    <w:basedOn w:val="21"/>
    <w:next w:val="21"/>
    <w:qFormat/>
    <w:uiPriority w:val="0"/>
    <w:pPr>
      <w:ind w:firstLine="0" w:firstLineChars="0"/>
      <w:jc w:val="center"/>
    </w:pPr>
    <w:rPr>
      <w:rFonts w:ascii="黑体" w:eastAsia="黑体"/>
    </w:rPr>
  </w:style>
  <w:style w:type="paragraph" w:customStyle="1" w:styleId="83">
    <w:name w:val="附录表标号"/>
    <w:basedOn w:val="1"/>
    <w:next w:val="21"/>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4">
    <w:name w:val="附录表标题"/>
    <w:basedOn w:val="1"/>
    <w:next w:val="21"/>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85">
    <w:name w:val="附录二级条标题"/>
    <w:basedOn w:val="1"/>
    <w:next w:val="21"/>
    <w:autoRedefine/>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6">
    <w:name w:val="附录二级无"/>
    <w:basedOn w:val="85"/>
    <w:qFormat/>
    <w:uiPriority w:val="0"/>
    <w:pPr>
      <w:tabs>
        <w:tab w:val="clear" w:pos="360"/>
      </w:tabs>
      <w:spacing w:before="0" w:beforeLines="0" w:after="0" w:afterLines="0"/>
    </w:pPr>
    <w:rPr>
      <w:rFonts w:ascii="宋体" w:eastAsia="宋体"/>
      <w:szCs w:val="21"/>
    </w:rPr>
  </w:style>
  <w:style w:type="paragraph" w:customStyle="1" w:styleId="87">
    <w:name w:val="附录公式"/>
    <w:basedOn w:val="21"/>
    <w:next w:val="21"/>
    <w:link w:val="88"/>
    <w:qFormat/>
    <w:uiPriority w:val="0"/>
  </w:style>
  <w:style w:type="character" w:customStyle="1" w:styleId="88">
    <w:name w:val="附录公式 Char"/>
    <w:link w:val="87"/>
    <w:qFormat/>
    <w:uiPriority w:val="0"/>
    <w:rPr>
      <w:lang w:val="en-US" w:eastAsia="zh-CN" w:bidi="ar-SA"/>
    </w:rPr>
  </w:style>
  <w:style w:type="paragraph" w:customStyle="1" w:styleId="89">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90">
    <w:name w:val="附录三级条标题"/>
    <w:basedOn w:val="85"/>
    <w:next w:val="21"/>
    <w:qFormat/>
    <w:uiPriority w:val="0"/>
    <w:pPr>
      <w:numPr>
        <w:ilvl w:val="4"/>
        <w:numId w:val="10"/>
      </w:numPr>
      <w:outlineLvl w:val="4"/>
    </w:pPr>
  </w:style>
  <w:style w:type="paragraph" w:customStyle="1" w:styleId="91">
    <w:name w:val="附录三级无"/>
    <w:basedOn w:val="90"/>
    <w:autoRedefine/>
    <w:qFormat/>
    <w:uiPriority w:val="0"/>
    <w:pPr>
      <w:tabs>
        <w:tab w:val="clear" w:pos="360"/>
      </w:tabs>
      <w:spacing w:before="0" w:beforeLines="0" w:after="0" w:afterLines="0"/>
    </w:pPr>
    <w:rPr>
      <w:rFonts w:ascii="宋体" w:eastAsia="宋体"/>
      <w:szCs w:val="21"/>
    </w:rPr>
  </w:style>
  <w:style w:type="paragraph" w:customStyle="1" w:styleId="92">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3">
    <w:name w:val="附录四级条标题"/>
    <w:basedOn w:val="90"/>
    <w:next w:val="21"/>
    <w:qFormat/>
    <w:uiPriority w:val="0"/>
    <w:pPr>
      <w:numPr>
        <w:ilvl w:val="5"/>
        <w:numId w:val="10"/>
      </w:numPr>
      <w:outlineLvl w:val="5"/>
    </w:pPr>
  </w:style>
  <w:style w:type="paragraph" w:customStyle="1" w:styleId="94">
    <w:name w:val="附录四级无"/>
    <w:basedOn w:val="93"/>
    <w:autoRedefine/>
    <w:qFormat/>
    <w:uiPriority w:val="0"/>
    <w:pPr>
      <w:tabs>
        <w:tab w:val="clear" w:pos="360"/>
      </w:tabs>
      <w:spacing w:before="0" w:beforeLines="0" w:after="0" w:afterLines="0"/>
    </w:pPr>
    <w:rPr>
      <w:rFonts w:ascii="宋体" w:eastAsia="宋体"/>
      <w:szCs w:val="21"/>
    </w:rPr>
  </w:style>
  <w:style w:type="paragraph" w:customStyle="1" w:styleId="95">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6">
    <w:name w:val="附录图标题"/>
    <w:basedOn w:val="1"/>
    <w:next w:val="21"/>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7">
    <w:name w:val="附录五级条标题"/>
    <w:basedOn w:val="93"/>
    <w:next w:val="21"/>
    <w:qFormat/>
    <w:uiPriority w:val="0"/>
    <w:pPr>
      <w:numPr>
        <w:ilvl w:val="6"/>
        <w:numId w:val="10"/>
      </w:numPr>
      <w:outlineLvl w:val="6"/>
    </w:pPr>
  </w:style>
  <w:style w:type="paragraph" w:customStyle="1" w:styleId="98">
    <w:name w:val="附录五级无"/>
    <w:basedOn w:val="97"/>
    <w:autoRedefine/>
    <w:qFormat/>
    <w:uiPriority w:val="0"/>
    <w:pPr>
      <w:tabs>
        <w:tab w:val="clear" w:pos="360"/>
      </w:tabs>
      <w:spacing w:before="0" w:beforeLines="0" w:after="0" w:afterLines="0"/>
    </w:pPr>
    <w:rPr>
      <w:rFonts w:ascii="宋体" w:eastAsia="宋体"/>
      <w:szCs w:val="21"/>
    </w:rPr>
  </w:style>
  <w:style w:type="paragraph" w:customStyle="1" w:styleId="99">
    <w:name w:val="附录章标题"/>
    <w:next w:val="21"/>
    <w:autoRedefine/>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0">
    <w:name w:val="附录一级条标题"/>
    <w:basedOn w:val="99"/>
    <w:next w:val="21"/>
    <w:qFormat/>
    <w:uiPriority w:val="0"/>
    <w:pPr>
      <w:numPr>
        <w:ilvl w:val="2"/>
        <w:numId w:val="10"/>
      </w:numPr>
      <w:autoSpaceDN w:val="0"/>
      <w:spacing w:before="50" w:beforeLines="50" w:after="50" w:afterLines="50"/>
      <w:outlineLvl w:val="2"/>
    </w:pPr>
  </w:style>
  <w:style w:type="paragraph" w:customStyle="1" w:styleId="101">
    <w:name w:val="附录一级无"/>
    <w:basedOn w:val="100"/>
    <w:autoRedefine/>
    <w:qFormat/>
    <w:uiPriority w:val="0"/>
    <w:pPr>
      <w:tabs>
        <w:tab w:val="clear" w:pos="360"/>
      </w:tabs>
      <w:spacing w:before="0" w:beforeLines="0" w:after="0" w:afterLines="0"/>
    </w:pPr>
    <w:rPr>
      <w:rFonts w:ascii="宋体" w:eastAsia="宋体"/>
      <w:szCs w:val="21"/>
    </w:rPr>
  </w:style>
  <w:style w:type="paragraph" w:customStyle="1" w:styleId="102">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6">
    <w:name w:val="其他标准标志"/>
    <w:basedOn w:val="63"/>
    <w:qFormat/>
    <w:uiPriority w:val="0"/>
    <w:pPr>
      <w:framePr w:w="6101" w:vAnchor="page" w:hAnchor="page" w:x="4673" w:y="942"/>
    </w:pPr>
    <w:rPr>
      <w:w w:val="130"/>
    </w:rPr>
  </w:style>
  <w:style w:type="paragraph" w:customStyle="1" w:styleId="10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8">
    <w:name w:val="其他发布部门"/>
    <w:basedOn w:val="71"/>
    <w:qFormat/>
    <w:uiPriority w:val="0"/>
    <w:pPr>
      <w:framePr w:y="15310"/>
      <w:spacing w:line="0" w:lineRule="atLeast"/>
    </w:pPr>
    <w:rPr>
      <w:rFonts w:ascii="黑体" w:eastAsia="黑体"/>
      <w:b w:val="0"/>
    </w:rPr>
  </w:style>
  <w:style w:type="paragraph" w:customStyle="1" w:styleId="109">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0">
    <w:name w:val="三级无"/>
    <w:basedOn w:val="48"/>
    <w:qFormat/>
    <w:uiPriority w:val="0"/>
    <w:pPr>
      <w:spacing w:before="0" w:beforeLines="0" w:after="0" w:afterLines="0"/>
    </w:pPr>
    <w:rPr>
      <w:rFonts w:ascii="宋体" w:eastAsia="宋体"/>
    </w:rPr>
  </w:style>
  <w:style w:type="paragraph" w:customStyle="1" w:styleId="111">
    <w:name w:val="实施日期"/>
    <w:basedOn w:val="72"/>
    <w:qFormat/>
    <w:uiPriority w:val="0"/>
    <w:pPr>
      <w:framePr w:vAnchor="page" w:hAnchor="page"/>
      <w:jc w:val="right"/>
    </w:pPr>
  </w:style>
  <w:style w:type="paragraph" w:customStyle="1" w:styleId="112">
    <w:name w:val="示例后文字"/>
    <w:basedOn w:val="21"/>
    <w:next w:val="21"/>
    <w:qFormat/>
    <w:uiPriority w:val="0"/>
    <w:pPr>
      <w:ind w:firstLine="360"/>
    </w:pPr>
    <w:rPr>
      <w:sz w:val="18"/>
    </w:rPr>
  </w:style>
  <w:style w:type="paragraph" w:customStyle="1" w:styleId="113">
    <w:name w:val="首示例"/>
    <w:next w:val="21"/>
    <w:link w:val="114"/>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4">
    <w:name w:val="首示例 Char"/>
    <w:link w:val="113"/>
    <w:qFormat/>
    <w:uiPriority w:val="0"/>
    <w:rPr>
      <w:rFonts w:ascii="宋体" w:hAnsi="宋体"/>
      <w:kern w:val="2"/>
      <w:sz w:val="18"/>
      <w:szCs w:val="18"/>
      <w:lang w:val="en-US" w:eastAsia="zh-CN" w:bidi="ar-SA"/>
    </w:rPr>
  </w:style>
  <w:style w:type="paragraph" w:customStyle="1" w:styleId="115">
    <w:name w:val="四级无"/>
    <w:basedOn w:val="52"/>
    <w:qFormat/>
    <w:uiPriority w:val="0"/>
    <w:pPr>
      <w:spacing w:before="0" w:beforeLines="0" w:after="0" w:afterLines="0"/>
    </w:pPr>
    <w:rPr>
      <w:rFonts w:ascii="宋体" w:eastAsia="宋体"/>
    </w:rPr>
  </w:style>
  <w:style w:type="paragraph" w:customStyle="1" w:styleId="116">
    <w:name w:val="条文脚注"/>
    <w:basedOn w:val="22"/>
    <w:qFormat/>
    <w:uiPriority w:val="0"/>
    <w:pPr>
      <w:numPr>
        <w:ilvl w:val="0"/>
        <w:numId w:val="0"/>
      </w:numPr>
      <w:tabs>
        <w:tab w:val="clear" w:pos="0"/>
      </w:tabs>
      <w:jc w:val="both"/>
    </w:pPr>
    <w:rPr>
      <w:rFonts w:ascii="宋体"/>
    </w:rPr>
  </w:style>
  <w:style w:type="paragraph" w:customStyle="1" w:styleId="117">
    <w:name w:val="图标脚注说明"/>
    <w:basedOn w:val="21"/>
    <w:qFormat/>
    <w:uiPriority w:val="0"/>
    <w:pPr>
      <w:ind w:left="840" w:hanging="420" w:firstLineChars="0"/>
    </w:pPr>
    <w:rPr>
      <w:sz w:val="18"/>
      <w:szCs w:val="18"/>
    </w:rPr>
  </w:style>
  <w:style w:type="paragraph" w:customStyle="1" w:styleId="118">
    <w:name w:val="图表脚注说明"/>
    <w:basedOn w:val="1"/>
    <w:qFormat/>
    <w:uiPriority w:val="0"/>
    <w:pPr>
      <w:numPr>
        <w:ilvl w:val="0"/>
        <w:numId w:val="15"/>
      </w:numPr>
    </w:pPr>
    <w:rPr>
      <w:rFonts w:ascii="宋体"/>
      <w:sz w:val="18"/>
      <w:szCs w:val="18"/>
    </w:rPr>
  </w:style>
  <w:style w:type="paragraph" w:customStyle="1" w:styleId="119">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1">
    <w:name w:val="五级无"/>
    <w:basedOn w:val="53"/>
    <w:qFormat/>
    <w:uiPriority w:val="0"/>
    <w:pPr>
      <w:spacing w:before="0" w:beforeLines="0" w:after="0" w:afterLines="0"/>
    </w:pPr>
    <w:rPr>
      <w:rFonts w:ascii="宋体" w:eastAsia="宋体"/>
    </w:rPr>
  </w:style>
  <w:style w:type="paragraph" w:customStyle="1" w:styleId="122">
    <w:name w:val="一级无"/>
    <w:basedOn w:val="39"/>
    <w:qFormat/>
    <w:uiPriority w:val="0"/>
    <w:pPr>
      <w:spacing w:before="0" w:beforeLines="0" w:after="0" w:afterLines="0"/>
    </w:pPr>
    <w:rPr>
      <w:rFonts w:ascii="宋体" w:eastAsia="宋体"/>
    </w:rPr>
  </w:style>
  <w:style w:type="paragraph" w:customStyle="1" w:styleId="123">
    <w:name w:val="正文表标题"/>
    <w:next w:val="21"/>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4">
    <w:name w:val="正文公式编号制表符"/>
    <w:basedOn w:val="21"/>
    <w:next w:val="21"/>
    <w:qFormat/>
    <w:uiPriority w:val="0"/>
    <w:pPr>
      <w:ind w:firstLine="0" w:firstLineChars="0"/>
    </w:pPr>
  </w:style>
  <w:style w:type="paragraph" w:customStyle="1" w:styleId="125">
    <w:name w:val="正文图标题"/>
    <w:next w:val="21"/>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终结线"/>
    <w:basedOn w:val="1"/>
    <w:qFormat/>
    <w:uiPriority w:val="0"/>
    <w:pPr>
      <w:framePr w:hSpace="181" w:vSpace="181" w:wrap="around" w:vAnchor="text" w:hAnchor="margin" w:xAlign="center" w:y="285"/>
    </w:pPr>
  </w:style>
  <w:style w:type="paragraph" w:customStyle="1" w:styleId="127">
    <w:name w:val="其他发布日期"/>
    <w:basedOn w:val="72"/>
    <w:qFormat/>
    <w:uiPriority w:val="0"/>
    <w:pPr>
      <w:framePr w:vAnchor="page" w:hAnchor="page" w:x="1419"/>
    </w:pPr>
  </w:style>
  <w:style w:type="paragraph" w:customStyle="1" w:styleId="128">
    <w:name w:val="其他实施日期"/>
    <w:basedOn w:val="111"/>
    <w:qFormat/>
    <w:uiPriority w:val="0"/>
  </w:style>
  <w:style w:type="paragraph" w:customStyle="1" w:styleId="129">
    <w:name w:val="封面标准名称2"/>
    <w:basedOn w:val="75"/>
    <w:qFormat/>
    <w:uiPriority w:val="0"/>
    <w:pPr>
      <w:framePr w:y="4469"/>
      <w:spacing w:before="630" w:beforeLines="630"/>
    </w:pPr>
  </w:style>
  <w:style w:type="paragraph" w:customStyle="1" w:styleId="130">
    <w:name w:val="封面标准英文名称2"/>
    <w:basedOn w:val="76"/>
    <w:qFormat/>
    <w:uiPriority w:val="0"/>
    <w:pPr>
      <w:framePr w:y="4469"/>
    </w:pPr>
  </w:style>
  <w:style w:type="paragraph" w:customStyle="1" w:styleId="131">
    <w:name w:val="封面一致性程度标识2"/>
    <w:basedOn w:val="77"/>
    <w:qFormat/>
    <w:uiPriority w:val="0"/>
    <w:pPr>
      <w:framePr w:y="4469"/>
    </w:pPr>
  </w:style>
  <w:style w:type="paragraph" w:customStyle="1" w:styleId="132">
    <w:name w:val="封面标准文稿类别2"/>
    <w:basedOn w:val="78"/>
    <w:qFormat/>
    <w:uiPriority w:val="0"/>
    <w:pPr>
      <w:framePr w:y="4469"/>
    </w:pPr>
  </w:style>
  <w:style w:type="paragraph" w:customStyle="1" w:styleId="133">
    <w:name w:val="封面标准文稿编辑信息2"/>
    <w:basedOn w:val="79"/>
    <w:qFormat/>
    <w:uiPriority w:val="0"/>
    <w:pPr>
      <w:framePr w:y="4469"/>
    </w:pPr>
  </w:style>
  <w:style w:type="paragraph" w:customStyle="1" w:styleId="134">
    <w:name w:val="_Style 131"/>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5515</Words>
  <Characters>5935</Characters>
  <Lines>56</Lines>
  <Paragraphs>15</Paragraphs>
  <TotalTime>170</TotalTime>
  <ScaleCrop>false</ScaleCrop>
  <LinksUpToDate>false</LinksUpToDate>
  <CharactersWithSpaces>6076</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2009-06-19T13:05:00Z</dcterms:created>
  <dcterms:modified xsi:type="dcterms:W3CDTF">2024-04-09T03:48:42Z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BF7321821CD848B092DD9F2A23FC3961_13</vt:lpwstr>
  </property>
</Properties>
</file>